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E974A" w14:textId="77777777" w:rsidR="00BE48F0" w:rsidRDefault="00BE48F0" w:rsidP="00BD4DA2">
      <w:pPr>
        <w:jc w:val="center"/>
        <w:outlineLvl w:val="0"/>
        <w:rPr>
          <w:rFonts w:eastAsia="Times New Roman"/>
          <w:b/>
          <w:sz w:val="60"/>
          <w:szCs w:val="60"/>
        </w:rPr>
      </w:pPr>
    </w:p>
    <w:p w14:paraId="42DE2282" w14:textId="240C673B" w:rsidR="0028534D" w:rsidRPr="004957B1" w:rsidRDefault="0028534D" w:rsidP="00694498">
      <w:pPr>
        <w:jc w:val="center"/>
        <w:outlineLvl w:val="0"/>
        <w:rPr>
          <w:rFonts w:eastAsia="Times New Roman"/>
          <w:b/>
          <w:sz w:val="60"/>
          <w:szCs w:val="60"/>
        </w:rPr>
      </w:pPr>
      <w:r w:rsidRPr="004957B1">
        <w:rPr>
          <w:rFonts w:eastAsia="Times New Roman"/>
          <w:b/>
          <w:sz w:val="60"/>
          <w:szCs w:val="60"/>
        </w:rPr>
        <w:t xml:space="preserve">COMUNE DI </w:t>
      </w:r>
      <w:r w:rsidR="00145BFC">
        <w:rPr>
          <w:rFonts w:eastAsia="Times New Roman"/>
          <w:b/>
          <w:sz w:val="60"/>
          <w:szCs w:val="60"/>
        </w:rPr>
        <w:t>SAN NAZZARO SESIA</w:t>
      </w:r>
      <w:r w:rsidR="00145BFC">
        <w:rPr>
          <w:rFonts w:eastAsia="Times New Roman"/>
          <w:b/>
          <w:sz w:val="60"/>
          <w:szCs w:val="60"/>
        </w:rPr>
        <w:tab/>
      </w:r>
    </w:p>
    <w:p w14:paraId="5EDEA9E5" w14:textId="74494561" w:rsidR="0028534D" w:rsidRPr="004957B1" w:rsidRDefault="00694498" w:rsidP="00BD4DA2">
      <w:pPr>
        <w:jc w:val="center"/>
        <w:outlineLvl w:val="0"/>
        <w:rPr>
          <w:rFonts w:eastAsia="Times New Roman"/>
          <w:b/>
          <w:sz w:val="40"/>
          <w:szCs w:val="20"/>
        </w:rPr>
      </w:pPr>
      <w:r>
        <w:rPr>
          <w:rFonts w:eastAsia="Times New Roman"/>
          <w:b/>
          <w:sz w:val="40"/>
          <w:szCs w:val="20"/>
        </w:rPr>
        <w:t xml:space="preserve">Provincia di </w:t>
      </w:r>
      <w:r w:rsidR="00145BFC">
        <w:rPr>
          <w:rFonts w:eastAsia="Times New Roman"/>
          <w:b/>
          <w:sz w:val="40"/>
          <w:szCs w:val="20"/>
        </w:rPr>
        <w:t>Novara</w:t>
      </w:r>
    </w:p>
    <w:p w14:paraId="1F2899C6" w14:textId="77777777" w:rsidR="0028534D" w:rsidRPr="004957B1" w:rsidRDefault="0028534D" w:rsidP="0028534D">
      <w:pPr>
        <w:jc w:val="center"/>
        <w:rPr>
          <w:rFonts w:eastAsia="Times New Roman"/>
          <w:sz w:val="60"/>
          <w:szCs w:val="20"/>
        </w:rPr>
      </w:pPr>
    </w:p>
    <w:p w14:paraId="73A003C3" w14:textId="77777777" w:rsidR="0028534D" w:rsidRPr="004957B1" w:rsidRDefault="0028534D" w:rsidP="0028534D">
      <w:pPr>
        <w:jc w:val="center"/>
        <w:rPr>
          <w:rFonts w:eastAsia="Times New Roman"/>
          <w:sz w:val="60"/>
          <w:szCs w:val="20"/>
        </w:rPr>
      </w:pPr>
    </w:p>
    <w:p w14:paraId="5CBD50F1" w14:textId="77777777" w:rsidR="0028534D" w:rsidRPr="004957B1" w:rsidRDefault="0028534D" w:rsidP="0028534D">
      <w:pPr>
        <w:jc w:val="center"/>
        <w:rPr>
          <w:rFonts w:eastAsia="Times New Roman"/>
          <w:sz w:val="60"/>
          <w:szCs w:val="20"/>
        </w:rPr>
      </w:pPr>
    </w:p>
    <w:p w14:paraId="65D70630" w14:textId="77777777" w:rsidR="0028534D" w:rsidRPr="004957B1" w:rsidRDefault="0028534D" w:rsidP="0028534D">
      <w:pPr>
        <w:jc w:val="center"/>
        <w:rPr>
          <w:rFonts w:eastAsia="Times New Roman"/>
          <w:sz w:val="60"/>
          <w:szCs w:val="20"/>
        </w:rPr>
      </w:pPr>
    </w:p>
    <w:p w14:paraId="05155B13" w14:textId="77777777" w:rsidR="0028534D" w:rsidRPr="004957B1" w:rsidRDefault="00EA2202" w:rsidP="00BD4DA2">
      <w:pPr>
        <w:jc w:val="center"/>
        <w:outlineLvl w:val="0"/>
        <w:rPr>
          <w:rFonts w:eastAsia="Times New Roman"/>
          <w:b/>
          <w:smallCaps/>
          <w:sz w:val="60"/>
          <w:szCs w:val="20"/>
        </w:rPr>
      </w:pPr>
      <w:r w:rsidRPr="004957B1">
        <w:rPr>
          <w:rFonts w:eastAsia="Times New Roman"/>
          <w:b/>
          <w:smallCaps/>
          <w:sz w:val="60"/>
          <w:szCs w:val="20"/>
        </w:rPr>
        <w:t>NOTA INTEGRATIVA</w:t>
      </w:r>
    </w:p>
    <w:p w14:paraId="1F539024" w14:textId="77777777" w:rsidR="00EA2202" w:rsidRPr="004957B1" w:rsidRDefault="00EA2202" w:rsidP="0028534D">
      <w:pPr>
        <w:jc w:val="center"/>
        <w:rPr>
          <w:rFonts w:eastAsia="Times New Roman"/>
          <w:b/>
          <w:smallCaps/>
          <w:sz w:val="60"/>
          <w:szCs w:val="20"/>
        </w:rPr>
      </w:pPr>
    </w:p>
    <w:p w14:paraId="63CD7D4F" w14:textId="77777777" w:rsidR="0028534D" w:rsidRPr="004957B1" w:rsidRDefault="00EA2202" w:rsidP="00BD4DA2">
      <w:pPr>
        <w:jc w:val="center"/>
        <w:outlineLvl w:val="0"/>
        <w:rPr>
          <w:rFonts w:eastAsia="Times New Roman"/>
          <w:b/>
          <w:smallCaps/>
          <w:sz w:val="60"/>
          <w:szCs w:val="20"/>
        </w:rPr>
      </w:pPr>
      <w:r w:rsidRPr="004957B1">
        <w:rPr>
          <w:rFonts w:eastAsia="Times New Roman"/>
          <w:b/>
          <w:smallCaps/>
          <w:sz w:val="60"/>
          <w:szCs w:val="20"/>
        </w:rPr>
        <w:t>al bilancio di previsione</w:t>
      </w:r>
    </w:p>
    <w:p w14:paraId="5D4D1D6F" w14:textId="77777777" w:rsidR="00063243" w:rsidRPr="004957B1" w:rsidRDefault="003E16C9" w:rsidP="00BD4DA2">
      <w:pPr>
        <w:jc w:val="center"/>
        <w:outlineLvl w:val="0"/>
        <w:rPr>
          <w:rFonts w:eastAsia="Times New Roman"/>
          <w:b/>
          <w:smallCaps/>
          <w:sz w:val="60"/>
          <w:szCs w:val="20"/>
        </w:rPr>
      </w:pPr>
      <w:r>
        <w:rPr>
          <w:rFonts w:eastAsia="Times New Roman"/>
          <w:b/>
          <w:smallCaps/>
          <w:sz w:val="60"/>
          <w:szCs w:val="20"/>
        </w:rPr>
        <w:t>2021</w:t>
      </w:r>
      <w:r w:rsidR="00EA2202" w:rsidRPr="004957B1">
        <w:rPr>
          <w:rFonts w:eastAsia="Times New Roman"/>
          <w:b/>
          <w:smallCaps/>
          <w:sz w:val="60"/>
          <w:szCs w:val="20"/>
        </w:rPr>
        <w:t xml:space="preserve"> </w:t>
      </w:r>
      <w:r w:rsidR="00063243" w:rsidRPr="004957B1">
        <w:rPr>
          <w:rFonts w:eastAsia="Times New Roman"/>
          <w:b/>
          <w:smallCaps/>
          <w:sz w:val="60"/>
          <w:szCs w:val="20"/>
        </w:rPr>
        <w:t>–</w:t>
      </w:r>
      <w:r w:rsidR="00EA2202" w:rsidRPr="004957B1">
        <w:rPr>
          <w:rFonts w:eastAsia="Times New Roman"/>
          <w:b/>
          <w:smallCaps/>
          <w:sz w:val="60"/>
          <w:szCs w:val="20"/>
        </w:rPr>
        <w:t xml:space="preserve"> 20</w:t>
      </w:r>
      <w:r w:rsidR="00063243" w:rsidRPr="004957B1">
        <w:rPr>
          <w:rFonts w:eastAsia="Times New Roman"/>
          <w:b/>
          <w:smallCaps/>
          <w:sz w:val="60"/>
          <w:szCs w:val="20"/>
        </w:rPr>
        <w:t>2</w:t>
      </w:r>
      <w:r>
        <w:rPr>
          <w:rFonts w:eastAsia="Times New Roman"/>
          <w:b/>
          <w:smallCaps/>
          <w:sz w:val="60"/>
          <w:szCs w:val="20"/>
        </w:rPr>
        <w:t>3</w:t>
      </w:r>
    </w:p>
    <w:p w14:paraId="726F0E14" w14:textId="77777777" w:rsidR="0028534D" w:rsidRPr="004957B1" w:rsidRDefault="0028534D" w:rsidP="0028534D">
      <w:pPr>
        <w:jc w:val="center"/>
        <w:rPr>
          <w:rFonts w:eastAsia="Times New Roman"/>
          <w:b/>
          <w:smallCaps/>
          <w:sz w:val="60"/>
          <w:szCs w:val="20"/>
        </w:rPr>
      </w:pPr>
      <w:r w:rsidRPr="004957B1">
        <w:rPr>
          <w:rFonts w:eastAsia="Times New Roman"/>
          <w:b/>
          <w:smallCaps/>
          <w:sz w:val="60"/>
          <w:szCs w:val="20"/>
        </w:rPr>
        <w:t xml:space="preserve"> </w:t>
      </w:r>
    </w:p>
    <w:p w14:paraId="297BFE8B" w14:textId="77777777" w:rsidR="00EF2D67" w:rsidRPr="004957B1" w:rsidRDefault="00EF2D67" w:rsidP="0028534D">
      <w:pPr>
        <w:jc w:val="center"/>
        <w:rPr>
          <w:rFonts w:ascii="Book Antiqua" w:hAnsi="Book Antiqua" w:cs="Book Antiqua"/>
          <w:sz w:val="52"/>
          <w:szCs w:val="52"/>
        </w:rPr>
      </w:pPr>
    </w:p>
    <w:p w14:paraId="14E0D5EB" w14:textId="77777777" w:rsidR="00884942" w:rsidRPr="004957B1" w:rsidRDefault="00884942" w:rsidP="00F26273">
      <w:pPr>
        <w:spacing w:line="360" w:lineRule="auto"/>
        <w:jc w:val="both"/>
      </w:pPr>
    </w:p>
    <w:p w14:paraId="107B4D6C" w14:textId="77777777" w:rsidR="00884942" w:rsidRPr="004957B1" w:rsidRDefault="00884942" w:rsidP="00F26273">
      <w:pPr>
        <w:spacing w:line="360" w:lineRule="auto"/>
        <w:jc w:val="both"/>
      </w:pPr>
    </w:p>
    <w:p w14:paraId="6555F2C9" w14:textId="77777777" w:rsidR="00884942" w:rsidRPr="004957B1" w:rsidRDefault="00884942" w:rsidP="00F26273">
      <w:pPr>
        <w:spacing w:line="360" w:lineRule="auto"/>
        <w:jc w:val="both"/>
      </w:pPr>
    </w:p>
    <w:p w14:paraId="2D4FFEF5" w14:textId="77777777" w:rsidR="00884942" w:rsidRPr="004957B1" w:rsidRDefault="00884942" w:rsidP="00F26273">
      <w:pPr>
        <w:spacing w:line="360" w:lineRule="auto"/>
        <w:jc w:val="both"/>
      </w:pPr>
    </w:p>
    <w:p w14:paraId="70F4D318" w14:textId="77777777" w:rsidR="00884942" w:rsidRPr="004957B1" w:rsidRDefault="00884942" w:rsidP="00F26273">
      <w:pPr>
        <w:spacing w:line="360" w:lineRule="auto"/>
        <w:jc w:val="both"/>
      </w:pPr>
    </w:p>
    <w:p w14:paraId="7B53349B" w14:textId="77777777" w:rsidR="00884942" w:rsidRDefault="00884942" w:rsidP="00F26273">
      <w:pPr>
        <w:spacing w:line="360" w:lineRule="auto"/>
        <w:jc w:val="both"/>
      </w:pPr>
    </w:p>
    <w:p w14:paraId="421605EF" w14:textId="77777777" w:rsidR="00AA695B" w:rsidRDefault="00AA695B" w:rsidP="00F26273">
      <w:pPr>
        <w:spacing w:line="360" w:lineRule="auto"/>
        <w:jc w:val="both"/>
      </w:pPr>
    </w:p>
    <w:p w14:paraId="61EE83C1" w14:textId="77777777" w:rsidR="00AA695B" w:rsidRPr="004957B1" w:rsidRDefault="00AA695B" w:rsidP="00F26273">
      <w:pPr>
        <w:spacing w:line="360" w:lineRule="auto"/>
        <w:jc w:val="both"/>
      </w:pPr>
    </w:p>
    <w:p w14:paraId="16416C77" w14:textId="77777777" w:rsidR="00884942" w:rsidRPr="004957B1" w:rsidRDefault="00884942" w:rsidP="00BD4DA2">
      <w:pPr>
        <w:pBdr>
          <w:top w:val="single" w:sz="4" w:space="10" w:color="5B9BD5"/>
          <w:bottom w:val="single" w:sz="4" w:space="10" w:color="5B9BD5"/>
        </w:pBdr>
        <w:spacing w:before="360" w:after="360"/>
        <w:ind w:left="864" w:right="864"/>
        <w:jc w:val="center"/>
        <w:outlineLvl w:val="0"/>
        <w:rPr>
          <w:i/>
          <w:iCs/>
          <w:color w:val="5B9BD5"/>
        </w:rPr>
      </w:pPr>
      <w:r w:rsidRPr="004957B1">
        <w:rPr>
          <w:i/>
          <w:iCs/>
          <w:color w:val="5B9BD5"/>
        </w:rPr>
        <w:lastRenderedPageBreak/>
        <w:t xml:space="preserve">INTRODUZIONE </w:t>
      </w:r>
    </w:p>
    <w:p w14:paraId="66EAD38A" w14:textId="77777777" w:rsidR="00CC570D" w:rsidRPr="004957B1" w:rsidRDefault="00CC570D" w:rsidP="00F26273">
      <w:pPr>
        <w:spacing w:line="360" w:lineRule="auto"/>
        <w:jc w:val="both"/>
      </w:pPr>
      <w:r w:rsidRPr="004957B1">
        <w:t>La presente Nota Integrativa al Bilancio di Previsione è redatta ai sensi di quanto previsto al punto 9.11 del principio contabile applicato concernente la programmazione di bilancio, Allegato 4/1 al D.lgs</w:t>
      </w:r>
      <w:r w:rsidR="00F26273" w:rsidRPr="004957B1">
        <w:t>.118/2001 e dell'</w:t>
      </w:r>
      <w:r w:rsidRPr="004957B1">
        <w:t>art.</w:t>
      </w:r>
      <w:r w:rsidR="00F26273" w:rsidRPr="004957B1">
        <w:t xml:space="preserve"> </w:t>
      </w:r>
      <w:r w:rsidRPr="004957B1">
        <w:t>11 comma 5 del D</w:t>
      </w:r>
      <w:r w:rsidR="00F26273" w:rsidRPr="004957B1">
        <w:t>.l</w:t>
      </w:r>
      <w:r w:rsidRPr="004957B1">
        <w:t>gs</w:t>
      </w:r>
      <w:r w:rsidR="00F26273" w:rsidRPr="004957B1">
        <w:t>.</w:t>
      </w:r>
      <w:r w:rsidRPr="004957B1">
        <w:t xml:space="preserve"> 118/2011. </w:t>
      </w:r>
    </w:p>
    <w:p w14:paraId="59C24BD1" w14:textId="77777777" w:rsidR="00CC570D" w:rsidRPr="004957B1" w:rsidRDefault="00CC570D" w:rsidP="00F26273">
      <w:pPr>
        <w:spacing w:line="360" w:lineRule="auto"/>
        <w:jc w:val="both"/>
      </w:pPr>
      <w:r w:rsidRPr="004957B1">
        <w:t xml:space="preserve">Il decreto legislativo 23 giugno 2011 n.118 coordinato con il decreto legislativo 10 agosto 2014, n.126, ha introdotto un nuovo sistema contabile cosiddetto armonizzato avente la finalità di rendere i bilanci degli enti territoriali omogenei fra loro e con quelli della restante Pubblica Amministrazione anche ai fini del consolidamento dei conti pubblici. </w:t>
      </w:r>
    </w:p>
    <w:p w14:paraId="0DE38657" w14:textId="77777777" w:rsidR="00877A0E" w:rsidRPr="004957B1" w:rsidRDefault="00CC570D" w:rsidP="00F26273">
      <w:pPr>
        <w:spacing w:line="360" w:lineRule="auto"/>
        <w:jc w:val="both"/>
      </w:pPr>
      <w:r w:rsidRPr="004957B1">
        <w:t xml:space="preserve">Il principio contabile applicato concernente la programmazione di bilancio (Allegato 4/1) prevede, per gli enti che adottano la contabilità finanziaria potenziata, la stesura della Nota Integrativa al bilancio di previsione, </w:t>
      </w:r>
      <w:r w:rsidR="002F533B" w:rsidRPr="004957B1">
        <w:t xml:space="preserve">la quale consiste in </w:t>
      </w:r>
      <w:r w:rsidRPr="004957B1">
        <w:t xml:space="preserve">una relazione esplicativa dei contenuti del bilancio. </w:t>
      </w:r>
    </w:p>
    <w:p w14:paraId="6CA58348" w14:textId="77777777" w:rsidR="00F26273" w:rsidRDefault="00CC570D" w:rsidP="00F26273">
      <w:pPr>
        <w:spacing w:line="360" w:lineRule="auto"/>
        <w:jc w:val="both"/>
      </w:pPr>
      <w:r w:rsidRPr="004957B1">
        <w:t>La Nota Integrativa arricchisce il bilancio di previsione di informazioni, integrandolo con dati quantitativi o esplicativi, al fine di rendere chiara e comprensiva la lettura dello stesso. Il documento analizza alcuni dati, i</w:t>
      </w:r>
      <w:r w:rsidR="00F26273" w:rsidRPr="004957B1">
        <w:t>llustrando le ipotesi assunte e</w:t>
      </w:r>
      <w:r w:rsidRPr="004957B1">
        <w:t xml:space="preserve">, in particolare, i criteri adottati nella determinazione dei valori del bilancio di previsione. </w:t>
      </w:r>
    </w:p>
    <w:p w14:paraId="24AA4C88" w14:textId="77777777" w:rsidR="005B4F9E" w:rsidRPr="00BE48F0" w:rsidRDefault="00BD4DA2" w:rsidP="005B4F9E">
      <w:pPr>
        <w:spacing w:line="360" w:lineRule="auto"/>
        <w:jc w:val="both"/>
      </w:pPr>
      <w:r w:rsidRPr="00BE48F0">
        <w:t xml:space="preserve">Per la redazione della </w:t>
      </w:r>
      <w:r w:rsidR="005B4F9E" w:rsidRPr="00BE48F0">
        <w:t xml:space="preserve">nota integrativa allegata al bilancio di previsione </w:t>
      </w:r>
      <w:r w:rsidRPr="00BE48F0">
        <w:t>il principio contabile stabilisce solo</w:t>
      </w:r>
      <w:r w:rsidR="005B4F9E" w:rsidRPr="00BE48F0">
        <w:t xml:space="preserve"> un contenuto minimo costituito da:</w:t>
      </w:r>
    </w:p>
    <w:p w14:paraId="3446BC1F" w14:textId="77777777" w:rsidR="005B4F9E" w:rsidRPr="00BE48F0" w:rsidRDefault="005B4F9E" w:rsidP="005B4F9E">
      <w:pPr>
        <w:numPr>
          <w:ilvl w:val="1"/>
          <w:numId w:val="12"/>
        </w:numPr>
        <w:spacing w:line="360" w:lineRule="auto"/>
        <w:jc w:val="both"/>
      </w:pPr>
      <w:r w:rsidRPr="00BE48F0">
        <w:t>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w:t>
      </w:r>
    </w:p>
    <w:p w14:paraId="18ABCC61" w14:textId="77777777" w:rsidR="005B4F9E" w:rsidRPr="00BE48F0" w:rsidRDefault="00BD4DA2" w:rsidP="005B4F9E">
      <w:pPr>
        <w:numPr>
          <w:ilvl w:val="1"/>
          <w:numId w:val="12"/>
        </w:numPr>
        <w:spacing w:line="360" w:lineRule="auto"/>
        <w:jc w:val="both"/>
      </w:pPr>
      <w:r w:rsidRPr="00BE48F0">
        <w:t xml:space="preserve">l’elenco analitico delle quote </w:t>
      </w:r>
      <w:r w:rsidR="005B4F9E" w:rsidRPr="00BE48F0">
        <w:t>vincolate e accantonate del risultato di amministrazione presunto al 31 dicembre dell’esercizio precedente, distinguendo i vincoli derivanti dalla legge e dai principi contabili, dai trasferimenti, da mutui e altri finanziamenti, vincoli formalmente attribuiti dall’ente;</w:t>
      </w:r>
    </w:p>
    <w:p w14:paraId="11CC53EC" w14:textId="77777777" w:rsidR="005B4F9E" w:rsidRPr="00BE48F0" w:rsidRDefault="005B4F9E" w:rsidP="005B4F9E">
      <w:pPr>
        <w:numPr>
          <w:ilvl w:val="1"/>
          <w:numId w:val="12"/>
        </w:numPr>
        <w:spacing w:line="360" w:lineRule="auto"/>
        <w:jc w:val="both"/>
      </w:pPr>
      <w:r w:rsidRPr="00BE48F0">
        <w:t xml:space="preserve"> l’elenco analitico degli utilizzi delle quote vincolate e accantonate del risultato di amministrazione presunto, distinguendo i vincoli derivanti dalla legge e dai principi contabili, dai trasferimenti, da mutui e altri finanziamenti, vincoli formalmente attribuiti dall’ente;</w:t>
      </w:r>
    </w:p>
    <w:p w14:paraId="66BC3E6D" w14:textId="77777777" w:rsidR="005B4F9E" w:rsidRPr="00BE48F0" w:rsidRDefault="005B4F9E" w:rsidP="005B4F9E">
      <w:pPr>
        <w:numPr>
          <w:ilvl w:val="1"/>
          <w:numId w:val="12"/>
        </w:numPr>
        <w:spacing w:line="360" w:lineRule="auto"/>
        <w:jc w:val="both"/>
      </w:pPr>
      <w:r w:rsidRPr="00BE48F0">
        <w:lastRenderedPageBreak/>
        <w:t>l’elenco degli interventi programmati per spese di investimento finanziati col ricorso al debito e con le risorse disponibili;</w:t>
      </w:r>
    </w:p>
    <w:p w14:paraId="5EB3D68E" w14:textId="77777777" w:rsidR="005B4F9E" w:rsidRPr="00BE48F0" w:rsidRDefault="005B4F9E" w:rsidP="005B4F9E">
      <w:pPr>
        <w:numPr>
          <w:ilvl w:val="1"/>
          <w:numId w:val="12"/>
        </w:numPr>
        <w:spacing w:line="360" w:lineRule="auto"/>
        <w:jc w:val="both"/>
      </w:pPr>
      <w:proofErr w:type="gramStart"/>
      <w:r w:rsidRPr="00BE48F0">
        <w:t>nel</w:t>
      </w:r>
      <w:proofErr w:type="gramEnd"/>
      <w:r w:rsidRPr="00BE48F0">
        <w:t xml:space="preserve"> caso in cui gli stanziamenti riguardanti il fondo pluriennale vincolato comprendono anche investimenti ancora in corso di definizione, le cause che non hanno reso possibile porre in essere la programmazione necessaria alla definizione dei relativi cronoprogrammi;</w:t>
      </w:r>
    </w:p>
    <w:p w14:paraId="343AE233" w14:textId="77777777" w:rsidR="005B4F9E" w:rsidRPr="00BE48F0" w:rsidRDefault="005B4F9E" w:rsidP="005B4F9E">
      <w:pPr>
        <w:numPr>
          <w:ilvl w:val="1"/>
          <w:numId w:val="12"/>
        </w:numPr>
        <w:spacing w:line="360" w:lineRule="auto"/>
        <w:jc w:val="both"/>
      </w:pPr>
      <w:r w:rsidRPr="00BE48F0">
        <w:t xml:space="preserve">l’elenco delle garanzie principali o </w:t>
      </w:r>
      <w:r w:rsidR="00BD4DA2" w:rsidRPr="00BE48F0">
        <w:t xml:space="preserve">sussidiarie prestate dall’ente </w:t>
      </w:r>
      <w:r w:rsidRPr="00BE48F0">
        <w:t>a favore di enti e di altri soggetti ai sensi delle leggi vigenti;</w:t>
      </w:r>
    </w:p>
    <w:p w14:paraId="5204857C" w14:textId="77777777" w:rsidR="005B4F9E" w:rsidRPr="00BE48F0" w:rsidRDefault="005B4F9E" w:rsidP="005B4F9E">
      <w:pPr>
        <w:numPr>
          <w:ilvl w:val="1"/>
          <w:numId w:val="12"/>
        </w:numPr>
        <w:spacing w:line="360" w:lineRule="auto"/>
        <w:jc w:val="both"/>
      </w:pPr>
      <w:r w:rsidRPr="00BE48F0">
        <w:t>gli oneri e gli impegni finanziari stimati e stanziati in bilancio, derivanti da contratti relativi a strumenti finanziari derivati o da contratti di finanziamento che includono una componente derivata;</w:t>
      </w:r>
    </w:p>
    <w:p w14:paraId="1281C06A" w14:textId="77777777" w:rsidR="005B4F9E" w:rsidRPr="00BE48F0" w:rsidRDefault="005B4F9E" w:rsidP="005B4F9E">
      <w:pPr>
        <w:numPr>
          <w:ilvl w:val="1"/>
          <w:numId w:val="12"/>
        </w:numPr>
        <w:spacing w:line="360" w:lineRule="auto"/>
        <w:jc w:val="both"/>
      </w:pPr>
      <w:r w:rsidRPr="00BE48F0">
        <w:t>l'elenco dei propri enti ed organismi strumentali, precisando che i relativi bilanci consuntivi sono consultabili nel proprio sito internet fermo restando quanto previsto per gli enti locali dall'articolo 172, comma 1, lettera a) del decreto legislativo 18 agosto 2000, n. 267;</w:t>
      </w:r>
    </w:p>
    <w:p w14:paraId="16BF583C" w14:textId="77777777" w:rsidR="005B4F9E" w:rsidRPr="00BE48F0" w:rsidRDefault="005B4F9E" w:rsidP="005B4F9E">
      <w:pPr>
        <w:numPr>
          <w:ilvl w:val="1"/>
          <w:numId w:val="12"/>
        </w:numPr>
        <w:spacing w:line="360" w:lineRule="auto"/>
        <w:jc w:val="both"/>
      </w:pPr>
      <w:r w:rsidRPr="00BE48F0">
        <w:t>l’elenco delle partecipazioni possedute con l’indicazione della relativa quota percentuale;</w:t>
      </w:r>
    </w:p>
    <w:p w14:paraId="45A8B257" w14:textId="77777777" w:rsidR="005B4F9E" w:rsidRPr="00BE48F0" w:rsidRDefault="005B4F9E" w:rsidP="005B4F9E">
      <w:pPr>
        <w:numPr>
          <w:ilvl w:val="1"/>
          <w:numId w:val="12"/>
        </w:numPr>
        <w:spacing w:line="360" w:lineRule="auto"/>
        <w:jc w:val="both"/>
      </w:pPr>
      <w:r w:rsidRPr="00BE48F0">
        <w:t>altre informazioni riguardanti le previsioni, richieste dalla legge o necessarie per l’interpretazione del bilancio.</w:t>
      </w:r>
    </w:p>
    <w:p w14:paraId="73CE8473" w14:textId="77777777" w:rsidR="00CC570D" w:rsidRPr="004957B1" w:rsidRDefault="00CC570D" w:rsidP="00F26273">
      <w:pPr>
        <w:pStyle w:val="Sfondochiaro-Colore21"/>
      </w:pPr>
      <w:r w:rsidRPr="004957B1">
        <w:t xml:space="preserve">CRITERI DI VALUTAZIONE ADOTTATI PER LA FORMULAZIONE DELLE PREVISIONI </w:t>
      </w:r>
    </w:p>
    <w:p w14:paraId="54BC2F9B" w14:textId="77777777" w:rsidR="007A1C2D" w:rsidRPr="004957B1" w:rsidRDefault="007A1C2D" w:rsidP="00E62537">
      <w:pPr>
        <w:spacing w:line="360" w:lineRule="auto"/>
        <w:jc w:val="both"/>
        <w:rPr>
          <w:b/>
        </w:rPr>
      </w:pPr>
      <w:r w:rsidRPr="004957B1">
        <w:t xml:space="preserve">I postulati del sistema di bilancio, o principi contabili, sono disposizioni tecniche di attuazione e di integrazione dell’ordinamento finanziario e contabile, formulati nel rispetto delle norme e secondo le finalità volute dal legislatore. </w:t>
      </w:r>
    </w:p>
    <w:p w14:paraId="527B22A7" w14:textId="77777777" w:rsidR="007A1C2D" w:rsidRPr="004957B1" w:rsidRDefault="007A1C2D" w:rsidP="00E62537">
      <w:pPr>
        <w:spacing w:line="360" w:lineRule="auto"/>
        <w:jc w:val="both"/>
      </w:pPr>
      <w:r w:rsidRPr="004957B1">
        <w:t xml:space="preserve">Si distinguono in postulati contabili o principi contabili generali e principi contabili applicati. </w:t>
      </w:r>
    </w:p>
    <w:p w14:paraId="58ED363C" w14:textId="77777777" w:rsidR="007A1C2D" w:rsidRPr="004957B1" w:rsidRDefault="007A1C2D" w:rsidP="00E62537">
      <w:pPr>
        <w:spacing w:line="360" w:lineRule="auto"/>
        <w:jc w:val="both"/>
      </w:pPr>
      <w:r w:rsidRPr="004957B1">
        <w:t xml:space="preserve">I postulati contabili costituiscono i fondamenti e le regole di carattere generale cui deve informarsi l’intero sistema di bilancio. </w:t>
      </w:r>
    </w:p>
    <w:p w14:paraId="1F468646" w14:textId="77777777" w:rsidR="007A1C2D" w:rsidRPr="004957B1" w:rsidRDefault="007A1C2D" w:rsidP="00E62537">
      <w:pPr>
        <w:spacing w:line="360" w:lineRule="auto"/>
        <w:jc w:val="both"/>
      </w:pPr>
      <w:r w:rsidRPr="004957B1">
        <w:t xml:space="preserve">I principi contabili applicati specificano i singoli istituti definiti nell’ordinamento e identificano i corretti adempimenti in coerenza con le indicazioni generali dei postulati. </w:t>
      </w:r>
    </w:p>
    <w:p w14:paraId="6F99E32C" w14:textId="77777777" w:rsidR="007A1C2D" w:rsidRPr="004957B1" w:rsidRDefault="007A1C2D" w:rsidP="00E62537">
      <w:pPr>
        <w:spacing w:line="360" w:lineRule="auto"/>
        <w:jc w:val="both"/>
      </w:pPr>
      <w:r w:rsidRPr="004957B1">
        <w:lastRenderedPageBreak/>
        <w:t>I postulati, così come i principi contabili applicati, sono soggetti ad evoluzione nel tempo e conseguentemente a revisione costante da parte del legislatore, al fine di rispondere alle mutevoli esigenze dei destinatari dei bilanci in merito alla qualità dell'informazione e l'attendibilità dei valori espress</w:t>
      </w:r>
      <w:r w:rsidR="000F45E7" w:rsidRPr="004957B1">
        <w:t>i, in conformità ai cambiamenti</w:t>
      </w:r>
      <w:r w:rsidRPr="004957B1">
        <w:t xml:space="preserve"> socio-economici del paese.</w:t>
      </w:r>
    </w:p>
    <w:p w14:paraId="7DAD1494" w14:textId="77777777" w:rsidR="007A1C2D" w:rsidRPr="004957B1" w:rsidRDefault="007A1C2D" w:rsidP="00E62537">
      <w:pPr>
        <w:spacing w:line="360" w:lineRule="auto"/>
        <w:jc w:val="both"/>
      </w:pPr>
      <w:r w:rsidRPr="004957B1">
        <w:t>Il T.U.E.L.</w:t>
      </w:r>
      <w:r w:rsidR="00A15598" w:rsidRPr="004957B1">
        <w:t>,</w:t>
      </w:r>
      <w:r w:rsidRPr="004957B1">
        <w:t xml:space="preserve"> all’art. 151 comma 1</w:t>
      </w:r>
      <w:r w:rsidR="00A15598" w:rsidRPr="004957B1">
        <w:t>,</w:t>
      </w:r>
      <w:r w:rsidRPr="004957B1">
        <w:t xml:space="preserve"> individua i postulati che devono essere osservati in sede di programmazione ma che hanno valenza generale e riguardano quindi tutto il sistema di bilancio. </w:t>
      </w:r>
    </w:p>
    <w:p w14:paraId="73FB6CDF" w14:textId="77777777" w:rsidR="007A1C2D" w:rsidRPr="004957B1" w:rsidRDefault="007A1C2D" w:rsidP="00E62537">
      <w:pPr>
        <w:spacing w:line="360" w:lineRule="auto"/>
        <w:jc w:val="both"/>
      </w:pPr>
      <w:r w:rsidRPr="004957B1">
        <w:t>A s</w:t>
      </w:r>
      <w:r w:rsidR="000F45E7" w:rsidRPr="004957B1">
        <w:t>eguito dell’introduzione del D.l</w:t>
      </w:r>
      <w:r w:rsidRPr="004957B1">
        <w:t>gs</w:t>
      </w:r>
      <w:r w:rsidR="000F45E7" w:rsidRPr="004957B1">
        <w:t>.</w:t>
      </w:r>
      <w:r w:rsidRPr="004957B1">
        <w:t xml:space="preserve"> 118/2011 l’articolo 151, così come l’art 162 rubricato “Principi del Bilancio”, rimanda l’individuazione </w:t>
      </w:r>
      <w:r w:rsidR="000F45E7" w:rsidRPr="004957B1">
        <w:t>d</w:t>
      </w:r>
      <w:r w:rsidRPr="004957B1">
        <w:t xml:space="preserve">ei principi contabili generali ed applicati agli allegati al decreto legislativo 23 giugno 2011, n. 118, e successive modificazioni. </w:t>
      </w:r>
    </w:p>
    <w:p w14:paraId="0F8C91A3" w14:textId="77777777" w:rsidR="0007352D" w:rsidRPr="004957B1" w:rsidRDefault="0007352D" w:rsidP="00E62537">
      <w:pPr>
        <w:spacing w:line="360" w:lineRule="auto"/>
        <w:jc w:val="both"/>
      </w:pPr>
    </w:p>
    <w:p w14:paraId="1EBBDFFA" w14:textId="77777777" w:rsidR="007A1C2D" w:rsidRPr="004957B1" w:rsidRDefault="00CC570D" w:rsidP="00E62537">
      <w:pPr>
        <w:spacing w:line="360" w:lineRule="auto"/>
        <w:jc w:val="both"/>
      </w:pPr>
      <w:r w:rsidRPr="004957B1">
        <w:t xml:space="preserve">Le previsioni triennali di entrata e spesa del bilancio di </w:t>
      </w:r>
      <w:r w:rsidR="009C514A" w:rsidRPr="004957B1">
        <w:t xml:space="preserve">previsione </w:t>
      </w:r>
      <w:r w:rsidR="00D73220">
        <w:t>2021-2023</w:t>
      </w:r>
      <w:r w:rsidR="007A1C2D" w:rsidRPr="004957B1">
        <w:t xml:space="preserve"> </w:t>
      </w:r>
      <w:r w:rsidR="009C514A" w:rsidRPr="004957B1">
        <w:t>sono state predisposte nel rispetto dei</w:t>
      </w:r>
      <w:r w:rsidR="007A1C2D" w:rsidRPr="004957B1">
        <w:t xml:space="preserve"> principi contabili</w:t>
      </w:r>
      <w:r w:rsidR="009C514A" w:rsidRPr="004957B1">
        <w:t>,</w:t>
      </w:r>
      <w:r w:rsidR="007A1C2D" w:rsidRPr="004957B1">
        <w:t xml:space="preserve"> che sono il principio dell'annualità, dell'unità, dell'universalità, dell'integrità</w:t>
      </w:r>
      <w:r w:rsidR="000F45E7" w:rsidRPr="004957B1">
        <w:t xml:space="preserve">, </w:t>
      </w:r>
      <w:r w:rsidR="007A1C2D" w:rsidRPr="004957B1">
        <w:t>della veridicità, attendib</w:t>
      </w:r>
      <w:r w:rsidR="009C514A" w:rsidRPr="004957B1">
        <w:t>ilità, correttezza</w:t>
      </w:r>
      <w:r w:rsidR="007A1C2D" w:rsidRPr="004957B1">
        <w:t xml:space="preserve"> e comprensibilità</w:t>
      </w:r>
      <w:r w:rsidR="000F45E7" w:rsidRPr="004957B1">
        <w:t>, dell</w:t>
      </w:r>
      <w:r w:rsidR="007A1C2D" w:rsidRPr="004957B1">
        <w:t>a significatività e rilevanza</w:t>
      </w:r>
      <w:r w:rsidR="000F45E7" w:rsidRPr="004957B1">
        <w:t>,</w:t>
      </w:r>
      <w:r w:rsidR="007A1C2D" w:rsidRPr="004957B1">
        <w:t xml:space="preserve"> della flessibilità</w:t>
      </w:r>
      <w:r w:rsidR="000F45E7" w:rsidRPr="004957B1">
        <w:t>,</w:t>
      </w:r>
      <w:r w:rsidR="007A1C2D" w:rsidRPr="004957B1">
        <w:t xml:space="preserve"> della congruità</w:t>
      </w:r>
      <w:r w:rsidR="000F45E7" w:rsidRPr="004957B1">
        <w:t>,</w:t>
      </w:r>
      <w:r w:rsidR="007A1C2D" w:rsidRPr="004957B1">
        <w:t xml:space="preserve"> della prudenza</w:t>
      </w:r>
      <w:r w:rsidR="000F45E7" w:rsidRPr="004957B1">
        <w:t xml:space="preserve">, </w:t>
      </w:r>
      <w:r w:rsidR="007A1C2D" w:rsidRPr="004957B1">
        <w:t>della coerenza</w:t>
      </w:r>
      <w:r w:rsidR="000F45E7" w:rsidRPr="004957B1">
        <w:t>,</w:t>
      </w:r>
      <w:r w:rsidR="007A1C2D" w:rsidRPr="004957B1">
        <w:t xml:space="preserve"> della continuità e della costanza</w:t>
      </w:r>
      <w:r w:rsidR="000F45E7" w:rsidRPr="004957B1">
        <w:t>,</w:t>
      </w:r>
      <w:r w:rsidR="007A1C2D" w:rsidRPr="004957B1">
        <w:t xml:space="preserve"> della comparabilità e della verificabilità</w:t>
      </w:r>
      <w:r w:rsidR="000F45E7" w:rsidRPr="004957B1">
        <w:t>,</w:t>
      </w:r>
      <w:r w:rsidR="007A1C2D" w:rsidRPr="004957B1">
        <w:t xml:space="preserve"> della neutralità</w:t>
      </w:r>
      <w:r w:rsidR="000F45E7" w:rsidRPr="004957B1">
        <w:t>,</w:t>
      </w:r>
      <w:r w:rsidR="007A1C2D" w:rsidRPr="004957B1">
        <w:t xml:space="preserve"> della pubblicità</w:t>
      </w:r>
      <w:r w:rsidR="000F45E7" w:rsidRPr="004957B1">
        <w:t>, dell'equilibrio di bilancio, della competenza finanziaria,</w:t>
      </w:r>
      <w:r w:rsidR="007A1C2D" w:rsidRPr="004957B1">
        <w:t xml:space="preserve"> della competenza economica</w:t>
      </w:r>
      <w:r w:rsidR="000F45E7" w:rsidRPr="004957B1">
        <w:t xml:space="preserve">, </w:t>
      </w:r>
      <w:r w:rsidR="007A1C2D" w:rsidRPr="004957B1">
        <w:t>della prevalenza della sostanza sulla forma.</w:t>
      </w:r>
    </w:p>
    <w:p w14:paraId="288C316B" w14:textId="77777777" w:rsidR="00A15598" w:rsidRPr="004957B1" w:rsidRDefault="00A15598" w:rsidP="00E62537">
      <w:pPr>
        <w:spacing w:line="360" w:lineRule="auto"/>
        <w:jc w:val="both"/>
      </w:pPr>
    </w:p>
    <w:p w14:paraId="2550A72C" w14:textId="77777777" w:rsidR="007A1C2D" w:rsidRPr="004957B1" w:rsidRDefault="00A15598" w:rsidP="00E62537">
      <w:pPr>
        <w:spacing w:line="360" w:lineRule="auto"/>
        <w:jc w:val="both"/>
      </w:pPr>
      <w:r w:rsidRPr="004957B1">
        <w:t>C</w:t>
      </w:r>
      <w:r w:rsidR="007A1C2D" w:rsidRPr="004957B1">
        <w:t xml:space="preserve">on gli allegati 4/1, 4/2, 4/3 e 4/4 </w:t>
      </w:r>
      <w:r w:rsidRPr="004957B1">
        <w:t xml:space="preserve">al </w:t>
      </w:r>
      <w:proofErr w:type="spellStart"/>
      <w:r w:rsidRPr="004957B1">
        <w:t>D.Lgs.</w:t>
      </w:r>
      <w:proofErr w:type="spellEnd"/>
      <w:r w:rsidRPr="004957B1">
        <w:t xml:space="preserve"> 118/2011 </w:t>
      </w:r>
      <w:r w:rsidR="007A1C2D" w:rsidRPr="004957B1">
        <w:t xml:space="preserve">vengono </w:t>
      </w:r>
      <w:r w:rsidR="009C514A" w:rsidRPr="004957B1">
        <w:t>definiti</w:t>
      </w:r>
      <w:r w:rsidR="007A1C2D" w:rsidRPr="004957B1">
        <w:t xml:space="preserve"> ulteriori principi contabili definiti “applicati”, che sono:</w:t>
      </w:r>
    </w:p>
    <w:p w14:paraId="2229F989" w14:textId="77777777" w:rsidR="007A1C2D" w:rsidRPr="004957B1" w:rsidRDefault="007A1C2D" w:rsidP="00E62537">
      <w:pPr>
        <w:numPr>
          <w:ilvl w:val="0"/>
          <w:numId w:val="5"/>
        </w:numPr>
        <w:spacing w:line="360" w:lineRule="auto"/>
        <w:jc w:val="both"/>
      </w:pPr>
      <w:r w:rsidRPr="004957B1">
        <w:t>Principio contabile applicato della programmazione (allegato 4/1)</w:t>
      </w:r>
    </w:p>
    <w:p w14:paraId="3F56B93D" w14:textId="77777777" w:rsidR="007A1C2D" w:rsidRPr="004957B1" w:rsidRDefault="007A1C2D" w:rsidP="00E62537">
      <w:pPr>
        <w:numPr>
          <w:ilvl w:val="0"/>
          <w:numId w:val="5"/>
        </w:numPr>
        <w:spacing w:line="360" w:lineRule="auto"/>
        <w:jc w:val="both"/>
      </w:pPr>
      <w:r w:rsidRPr="004957B1">
        <w:t>Principio contabile applicato della contabilità finanziaria (allegato 4/2)</w:t>
      </w:r>
    </w:p>
    <w:p w14:paraId="7D0D2309" w14:textId="77777777" w:rsidR="007A1C2D" w:rsidRPr="004957B1" w:rsidRDefault="0007352D" w:rsidP="00E62537">
      <w:pPr>
        <w:numPr>
          <w:ilvl w:val="0"/>
          <w:numId w:val="5"/>
        </w:numPr>
        <w:spacing w:line="360" w:lineRule="auto"/>
        <w:jc w:val="both"/>
      </w:pPr>
      <w:r w:rsidRPr="004957B1">
        <w:t>Principio contabile applicato</w:t>
      </w:r>
      <w:r w:rsidR="007A1C2D" w:rsidRPr="004957B1">
        <w:t xml:space="preserve"> della contabilità economica patrimoniale (allegato 4/3)</w:t>
      </w:r>
    </w:p>
    <w:p w14:paraId="7C061437" w14:textId="77777777" w:rsidR="007A1C2D" w:rsidRPr="004957B1" w:rsidRDefault="0007352D" w:rsidP="00E62537">
      <w:pPr>
        <w:numPr>
          <w:ilvl w:val="0"/>
          <w:numId w:val="5"/>
        </w:numPr>
        <w:spacing w:after="28" w:line="360" w:lineRule="auto"/>
        <w:jc w:val="both"/>
      </w:pPr>
      <w:r w:rsidRPr="004957B1">
        <w:t>Principio contabile applicato</w:t>
      </w:r>
      <w:r w:rsidR="007A1C2D" w:rsidRPr="004957B1">
        <w:t xml:space="preserve"> del bilancio consolidato (allegato 4/4)</w:t>
      </w:r>
    </w:p>
    <w:p w14:paraId="10427D3E" w14:textId="77777777" w:rsidR="0007352D" w:rsidRPr="004957B1" w:rsidRDefault="0007352D" w:rsidP="00E62537">
      <w:pPr>
        <w:spacing w:line="360" w:lineRule="auto"/>
        <w:jc w:val="both"/>
      </w:pPr>
    </w:p>
    <w:p w14:paraId="61CB5F5B" w14:textId="39F77E1E" w:rsidR="00CC570D" w:rsidRDefault="00CC570D" w:rsidP="00E62537">
      <w:pPr>
        <w:spacing w:line="360" w:lineRule="auto"/>
        <w:jc w:val="both"/>
      </w:pPr>
      <w:r w:rsidRPr="004957B1">
        <w:t>Come disposto dal D.</w:t>
      </w:r>
      <w:r w:rsidR="00F26273" w:rsidRPr="004957B1">
        <w:t>l</w:t>
      </w:r>
      <w:r w:rsidRPr="004957B1">
        <w:t>gs</w:t>
      </w:r>
      <w:r w:rsidR="00F26273" w:rsidRPr="004957B1">
        <w:t>.</w:t>
      </w:r>
      <w:r w:rsidRPr="004957B1">
        <w:t xml:space="preserve"> 118/2011, integrato e corretto dal D.</w:t>
      </w:r>
      <w:r w:rsidR="00F26273" w:rsidRPr="004957B1">
        <w:t>l</w:t>
      </w:r>
      <w:r w:rsidRPr="004957B1">
        <w:t>gs</w:t>
      </w:r>
      <w:r w:rsidR="00F26273" w:rsidRPr="004957B1">
        <w:t>.</w:t>
      </w:r>
      <w:r w:rsidRPr="004957B1">
        <w:t xml:space="preserve"> 126/2014, all’art. 39 comma 2, il bilancio di previsione finanziario comprende le previsioni di competenza e di cassa del primo esercizio del periodo considerato e le previsioni di competenza degli esercizi successivi. </w:t>
      </w:r>
    </w:p>
    <w:p w14:paraId="66AE23AE" w14:textId="77777777" w:rsidR="00145BFC" w:rsidRDefault="00145BFC" w:rsidP="00E62537">
      <w:pPr>
        <w:spacing w:line="360" w:lineRule="auto"/>
        <w:jc w:val="both"/>
      </w:pPr>
    </w:p>
    <w:p w14:paraId="521609DD" w14:textId="77777777" w:rsidR="00BD4DA2" w:rsidRPr="001C064D" w:rsidRDefault="00BD4DA2" w:rsidP="00BD4DA2">
      <w:pPr>
        <w:pStyle w:val="Sfondochiaro-Colore21"/>
        <w:outlineLvl w:val="0"/>
      </w:pPr>
      <w:r w:rsidRPr="001C064D">
        <w:lastRenderedPageBreak/>
        <w:t>FONDO CREDITI DI DUBBIA ESIGIBILITA’</w:t>
      </w:r>
    </w:p>
    <w:p w14:paraId="32853B07" w14:textId="77777777" w:rsidR="00BD4DA2" w:rsidRPr="00F92A7F" w:rsidRDefault="00BD4DA2"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F92A7F">
        <w:rPr>
          <w:rFonts w:ascii="Cambria" w:hAnsi="Cambria" w:cs="Times New Roman"/>
        </w:rPr>
        <w:t>L’allegato n. 2/4 “Principio contabile applicato concernente la contabilità finanziaria” richiamato dall’art. 3 del Decreto Legislativo 23 giugno 2011 n. 118 così come modificato dal Decreto Legislativo 10 agosto 2014 n. 126, in particolare al punto 3.3 e all’esempio n. 5 in appendice, disciplina l’accantonamento al fondo crediti di dubbia esigibilità a fronte di crediti di dubbia e difficile esazione accertati nell’esercizio.</w:t>
      </w:r>
    </w:p>
    <w:p w14:paraId="3C3649EB" w14:textId="77777777" w:rsidR="00BD4DA2" w:rsidRPr="00F92A7F" w:rsidRDefault="00BD4DA2"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F92A7F">
        <w:rPr>
          <w:rFonts w:ascii="Cambria" w:hAnsi="Cambria" w:cs="Times New Roman"/>
        </w:rPr>
        <w:t>A tal fine è previsto che nel bilancio di previsione venga stanziata una apposita posta contabile, denominata “Accantonamento al fondo crediti di dubbia esigibilità” il cui ammontare è determinato in considerazione della dimensione degli stanziamenti relativi ai crediti che si prevede si formeranno nell’esercizio, della loro natura e dell’andamento del fenomeno negli ultimi cinque esercizi precedenti.</w:t>
      </w:r>
    </w:p>
    <w:p w14:paraId="09BE9610" w14:textId="77777777" w:rsidR="00BD4DA2" w:rsidRPr="00F92A7F" w:rsidRDefault="00BD4DA2"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F92A7F">
        <w:rPr>
          <w:rFonts w:ascii="Cambria" w:hAnsi="Cambria" w:cs="Times New Roman"/>
        </w:rPr>
        <w:t>Tale accantonamento non risulterà oggetto di impegno e genererà pertanto un’economia di bilancio destinata a confluire nel risultato di amministrazione come quota accantonata.</w:t>
      </w:r>
    </w:p>
    <w:p w14:paraId="6F8FA78C" w14:textId="0F1A9469" w:rsidR="00BD4DA2" w:rsidRDefault="00BD4DA2"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2F44C2">
        <w:rPr>
          <w:rFonts w:ascii="Cambria" w:hAnsi="Cambria" w:cs="Times New Roman"/>
        </w:rPr>
        <w:t>Si riportano di seguito le composizioni del fondo crediti dubb</w:t>
      </w:r>
      <w:r w:rsidR="003E16C9" w:rsidRPr="002F44C2">
        <w:rPr>
          <w:rFonts w:ascii="Cambria" w:hAnsi="Cambria" w:cs="Times New Roman"/>
        </w:rPr>
        <w:t>ia esigibilità del triennio 2021-2023</w:t>
      </w:r>
      <w:r w:rsidRPr="002F44C2">
        <w:rPr>
          <w:rFonts w:ascii="Cambria" w:hAnsi="Cambria" w:cs="Times New Roman"/>
        </w:rPr>
        <w:t>:</w:t>
      </w:r>
    </w:p>
    <w:p w14:paraId="09BC3EA3" w14:textId="740D8382"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457B17C0" w14:textId="775B99EC"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102CF81C" w14:textId="243B1848"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0A1F411A" w14:textId="2FD1C6F0"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1DC9BD28" w14:textId="7CAC99AA"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04900C31" w14:textId="37F4F2AF"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4B0EFF49" w14:textId="2C44D3BE"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677BE076" w14:textId="25E6902E"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19360509" w14:textId="06F4E29B" w:rsidR="00B37434"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7BA61305" w14:textId="77777777" w:rsidR="00B37434" w:rsidRPr="00F92A7F" w:rsidRDefault="00B37434"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2A3B4689" w14:textId="77777777" w:rsidR="00F14931" w:rsidRDefault="00F14931" w:rsidP="006C007B">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b/>
          <w:u w:val="single"/>
        </w:rPr>
      </w:pPr>
      <w:bookmarkStart w:id="0" w:name="OLE_LINK8"/>
    </w:p>
    <w:p w14:paraId="751B877D" w14:textId="77777777" w:rsidR="00BD4DA2" w:rsidRPr="00F92A7F" w:rsidRDefault="00A34DB2" w:rsidP="006C007B">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b/>
          <w:u w:val="single"/>
        </w:rPr>
      </w:pPr>
      <w:r w:rsidRPr="00F92A7F">
        <w:rPr>
          <w:rFonts w:ascii="Cambria" w:hAnsi="Cambria"/>
          <w:b/>
          <w:u w:val="single"/>
        </w:rPr>
        <w:t>ESERCIZIO 202</w:t>
      </w:r>
      <w:r w:rsidR="00D73220">
        <w:rPr>
          <w:rFonts w:ascii="Cambria" w:hAnsi="Cambria"/>
          <w:b/>
          <w:u w:val="single"/>
        </w:rPr>
        <w:t>1</w:t>
      </w:r>
    </w:p>
    <w:p w14:paraId="3C29BA53" w14:textId="77777777" w:rsidR="00BD4DA2" w:rsidRPr="002F44C2" w:rsidRDefault="00BD4DA2" w:rsidP="00BD4DA2">
      <w:pPr>
        <w:widowControl w:val="0"/>
        <w:autoSpaceDE w:val="0"/>
        <w:autoSpaceDN w:val="0"/>
        <w:adjustRightInd w:val="0"/>
        <w:spacing w:line="360" w:lineRule="auto"/>
        <w:jc w:val="both"/>
        <w:outlineLvl w:val="0"/>
        <w:rPr>
          <w:rFonts w:eastAsia="Times New Roman"/>
          <w:noProof/>
          <w:u w:val="single"/>
        </w:rPr>
      </w:pPr>
      <w:r w:rsidRPr="002F44C2">
        <w:rPr>
          <w:rFonts w:eastAsia="Times New Roman"/>
          <w:noProof/>
          <w:u w:val="single"/>
        </w:rPr>
        <w:t xml:space="preserve">Percentuale di accantonamento obbligatorio al fondo: </w:t>
      </w:r>
      <w:r w:rsidR="00325976" w:rsidRPr="002F44C2">
        <w:rPr>
          <w:rFonts w:eastAsia="Times New Roman"/>
          <w:noProof/>
          <w:u w:val="single"/>
        </w:rPr>
        <w:t>100</w:t>
      </w:r>
      <w:r w:rsidRPr="002F44C2">
        <w:rPr>
          <w:rFonts w:eastAsia="Times New Roman"/>
          <w:noProof/>
          <w:u w:val="single"/>
        </w:rPr>
        <w:t>%</w:t>
      </w:r>
    </w:p>
    <w:p w14:paraId="27DDDBFE" w14:textId="77777777" w:rsidR="00BD4DA2" w:rsidRDefault="00BD4DA2" w:rsidP="00BD4DA2">
      <w:pPr>
        <w:widowControl w:val="0"/>
        <w:autoSpaceDE w:val="0"/>
        <w:autoSpaceDN w:val="0"/>
        <w:adjustRightInd w:val="0"/>
        <w:spacing w:line="360" w:lineRule="auto"/>
        <w:jc w:val="both"/>
        <w:outlineLvl w:val="0"/>
        <w:rPr>
          <w:rFonts w:eastAsia="Times New Roman"/>
          <w:noProof/>
          <w:u w:val="single"/>
        </w:rPr>
      </w:pPr>
      <w:r w:rsidRPr="002F44C2">
        <w:rPr>
          <w:rFonts w:eastAsia="Times New Roman"/>
          <w:noProof/>
          <w:u w:val="single"/>
        </w:rPr>
        <w:t xml:space="preserve">Percentuale di accantonamento effettiva a bilancio: </w:t>
      </w:r>
      <w:r w:rsidR="00746B48" w:rsidRPr="002F44C2">
        <w:rPr>
          <w:rFonts w:eastAsia="Times New Roman"/>
          <w:noProof/>
          <w:u w:val="single"/>
        </w:rPr>
        <w:t>100</w:t>
      </w:r>
      <w:r w:rsidRPr="002F44C2">
        <w:rPr>
          <w:rFonts w:eastAsia="Times New Roman"/>
          <w:noProof/>
          <w:u w:val="single"/>
        </w:rPr>
        <w:t>%</w:t>
      </w:r>
    </w:p>
    <w:p w14:paraId="054D70F3" w14:textId="73A0553B" w:rsidR="002F44C2" w:rsidRDefault="002F44C2" w:rsidP="00BD4DA2">
      <w:pPr>
        <w:widowControl w:val="0"/>
        <w:autoSpaceDE w:val="0"/>
        <w:autoSpaceDN w:val="0"/>
        <w:adjustRightInd w:val="0"/>
        <w:spacing w:line="360" w:lineRule="auto"/>
        <w:jc w:val="both"/>
        <w:outlineLvl w:val="0"/>
        <w:rPr>
          <w:rFonts w:eastAsia="Times New Roman"/>
          <w:noProof/>
          <w:u w:val="single"/>
        </w:rPr>
      </w:pPr>
    </w:p>
    <w:p w14:paraId="2BBAF790" w14:textId="3BE268F1" w:rsidR="002F44C2" w:rsidRDefault="00B37434" w:rsidP="00BD4DA2">
      <w:pPr>
        <w:widowControl w:val="0"/>
        <w:autoSpaceDE w:val="0"/>
        <w:autoSpaceDN w:val="0"/>
        <w:adjustRightInd w:val="0"/>
        <w:spacing w:line="360" w:lineRule="auto"/>
        <w:jc w:val="both"/>
        <w:outlineLvl w:val="0"/>
        <w:rPr>
          <w:rFonts w:eastAsia="Times New Roman"/>
          <w:noProof/>
          <w:u w:val="single"/>
        </w:rPr>
      </w:pPr>
      <w:r w:rsidRPr="00B37434">
        <w:rPr>
          <w:noProof/>
        </w:rPr>
        <w:lastRenderedPageBreak/>
        <w:drawing>
          <wp:inline distT="0" distB="0" distL="0" distR="0" wp14:anchorId="7409BF0E" wp14:editId="1194A8C0">
            <wp:extent cx="6332220" cy="667131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6671310"/>
                    </a:xfrm>
                    <a:prstGeom prst="rect">
                      <a:avLst/>
                    </a:prstGeom>
                    <a:noFill/>
                    <a:ln>
                      <a:noFill/>
                    </a:ln>
                  </pic:spPr>
                </pic:pic>
              </a:graphicData>
            </a:graphic>
          </wp:inline>
        </w:drawing>
      </w:r>
    </w:p>
    <w:p w14:paraId="77E0BA24" w14:textId="58926CBE" w:rsidR="00B37434" w:rsidRPr="00F92A7F" w:rsidRDefault="00B37434" w:rsidP="00BD4DA2">
      <w:pPr>
        <w:widowControl w:val="0"/>
        <w:autoSpaceDE w:val="0"/>
        <w:autoSpaceDN w:val="0"/>
        <w:adjustRightInd w:val="0"/>
        <w:spacing w:line="360" w:lineRule="auto"/>
        <w:jc w:val="both"/>
        <w:outlineLvl w:val="0"/>
        <w:rPr>
          <w:rFonts w:eastAsia="Times New Roman"/>
          <w:noProof/>
          <w:u w:val="single"/>
        </w:rPr>
      </w:pPr>
      <w:r w:rsidRPr="00B37434">
        <w:rPr>
          <w:noProof/>
        </w:rPr>
        <w:lastRenderedPageBreak/>
        <w:drawing>
          <wp:inline distT="0" distB="0" distL="0" distR="0" wp14:anchorId="18B209DF" wp14:editId="54B54442">
            <wp:extent cx="6332220" cy="8131175"/>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2220" cy="8131175"/>
                    </a:xfrm>
                    <a:prstGeom prst="rect">
                      <a:avLst/>
                    </a:prstGeom>
                    <a:noFill/>
                    <a:ln>
                      <a:noFill/>
                    </a:ln>
                  </pic:spPr>
                </pic:pic>
              </a:graphicData>
            </a:graphic>
          </wp:inline>
        </w:drawing>
      </w:r>
    </w:p>
    <w:bookmarkEnd w:id="0"/>
    <w:p w14:paraId="3EB81B11" w14:textId="77777777" w:rsidR="00BD4DA2" w:rsidRPr="002748C6" w:rsidRDefault="00BD4DA2" w:rsidP="00BD4DA2">
      <w:pPr>
        <w:widowControl w:val="0"/>
        <w:autoSpaceDE w:val="0"/>
        <w:autoSpaceDN w:val="0"/>
        <w:adjustRightInd w:val="0"/>
        <w:spacing w:line="360" w:lineRule="auto"/>
        <w:jc w:val="both"/>
        <w:rPr>
          <w:sz w:val="2"/>
          <w:szCs w:val="2"/>
        </w:rPr>
      </w:pPr>
    </w:p>
    <w:p w14:paraId="37F32727" w14:textId="77777777" w:rsidR="009C199F" w:rsidRPr="002748C6" w:rsidRDefault="009C199F" w:rsidP="00BD4DA2">
      <w:pPr>
        <w:widowControl w:val="0"/>
        <w:autoSpaceDE w:val="0"/>
        <w:autoSpaceDN w:val="0"/>
        <w:adjustRightInd w:val="0"/>
        <w:spacing w:line="360" w:lineRule="auto"/>
        <w:jc w:val="both"/>
        <w:rPr>
          <w:sz w:val="2"/>
          <w:szCs w:val="2"/>
        </w:rPr>
      </w:pPr>
    </w:p>
    <w:p w14:paraId="0631E40E" w14:textId="77777777" w:rsidR="00746B48" w:rsidRPr="002748C6" w:rsidRDefault="00746B48" w:rsidP="00BD4DA2">
      <w:pPr>
        <w:widowControl w:val="0"/>
        <w:autoSpaceDE w:val="0"/>
        <w:autoSpaceDN w:val="0"/>
        <w:adjustRightInd w:val="0"/>
        <w:spacing w:line="360" w:lineRule="auto"/>
        <w:jc w:val="both"/>
        <w:rPr>
          <w:sz w:val="2"/>
          <w:szCs w:val="2"/>
        </w:rPr>
      </w:pPr>
    </w:p>
    <w:p w14:paraId="43069B3E" w14:textId="77777777" w:rsidR="009C199F" w:rsidRPr="002748C6" w:rsidRDefault="009C199F" w:rsidP="00BD4DA2">
      <w:pPr>
        <w:widowControl w:val="0"/>
        <w:autoSpaceDE w:val="0"/>
        <w:autoSpaceDN w:val="0"/>
        <w:adjustRightInd w:val="0"/>
        <w:spacing w:line="360" w:lineRule="auto"/>
        <w:jc w:val="both"/>
        <w:rPr>
          <w:sz w:val="2"/>
          <w:szCs w:val="2"/>
        </w:rPr>
      </w:pPr>
    </w:p>
    <w:p w14:paraId="6F7E6F2A" w14:textId="77777777" w:rsidR="00BD4DA2" w:rsidRPr="0088351A" w:rsidRDefault="00BD4DA2" w:rsidP="006C007B">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b/>
          <w:u w:val="single"/>
        </w:rPr>
      </w:pPr>
      <w:r w:rsidRPr="002748C6">
        <w:rPr>
          <w:rFonts w:ascii="Cambria" w:eastAsia="MS Mincho" w:hAnsi="Cambria" w:cs="Times New Roman"/>
          <w:noProof w:val="0"/>
          <w:sz w:val="2"/>
          <w:szCs w:val="2"/>
        </w:rPr>
        <w:br w:type="page"/>
      </w:r>
      <w:r w:rsidRPr="0088351A">
        <w:rPr>
          <w:rFonts w:ascii="Cambria" w:hAnsi="Cambria" w:cs="Times New Roman"/>
          <w:b/>
          <w:u w:val="single"/>
        </w:rPr>
        <w:lastRenderedPageBreak/>
        <w:t>ESERCIZIO 20</w:t>
      </w:r>
      <w:r w:rsidR="00F97015">
        <w:rPr>
          <w:rFonts w:ascii="Cambria" w:hAnsi="Cambria" w:cs="Times New Roman"/>
          <w:b/>
          <w:u w:val="single"/>
        </w:rPr>
        <w:t>22</w:t>
      </w:r>
    </w:p>
    <w:p w14:paraId="607B8FB3" w14:textId="77777777" w:rsidR="00BD4DA2" w:rsidRPr="002F44C2" w:rsidRDefault="00BD4DA2" w:rsidP="00BD4DA2">
      <w:pPr>
        <w:widowControl w:val="0"/>
        <w:autoSpaceDE w:val="0"/>
        <w:autoSpaceDN w:val="0"/>
        <w:adjustRightInd w:val="0"/>
        <w:spacing w:line="360" w:lineRule="auto"/>
        <w:jc w:val="both"/>
        <w:outlineLvl w:val="0"/>
        <w:rPr>
          <w:rFonts w:eastAsia="Times New Roman"/>
          <w:noProof/>
          <w:u w:val="single"/>
        </w:rPr>
      </w:pPr>
      <w:r w:rsidRPr="002F44C2">
        <w:rPr>
          <w:rFonts w:eastAsia="Times New Roman"/>
          <w:noProof/>
          <w:u w:val="single"/>
        </w:rPr>
        <w:t xml:space="preserve">Percentuale di accantonamento obbligatorio al fondo: </w:t>
      </w:r>
      <w:r w:rsidR="00A34DB2" w:rsidRPr="002F44C2">
        <w:rPr>
          <w:rFonts w:eastAsia="Times New Roman"/>
          <w:noProof/>
          <w:u w:val="single"/>
        </w:rPr>
        <w:t>100</w:t>
      </w:r>
      <w:r w:rsidRPr="002F44C2">
        <w:rPr>
          <w:rFonts w:eastAsia="Times New Roman"/>
          <w:noProof/>
          <w:u w:val="single"/>
        </w:rPr>
        <w:t>%</w:t>
      </w:r>
    </w:p>
    <w:p w14:paraId="7F44A02A" w14:textId="77777777" w:rsidR="00BD4DA2" w:rsidRDefault="00BD4DA2" w:rsidP="00BD4DA2">
      <w:pPr>
        <w:widowControl w:val="0"/>
        <w:autoSpaceDE w:val="0"/>
        <w:autoSpaceDN w:val="0"/>
        <w:adjustRightInd w:val="0"/>
        <w:spacing w:line="360" w:lineRule="auto"/>
        <w:jc w:val="both"/>
        <w:outlineLvl w:val="0"/>
        <w:rPr>
          <w:rFonts w:eastAsia="Times New Roman"/>
          <w:noProof/>
          <w:u w:val="single"/>
        </w:rPr>
      </w:pPr>
      <w:r w:rsidRPr="002F44C2">
        <w:rPr>
          <w:rFonts w:eastAsia="Times New Roman"/>
          <w:noProof/>
          <w:u w:val="single"/>
        </w:rPr>
        <w:t xml:space="preserve">Percentuale di accantonamento effettiva a bilancio: </w:t>
      </w:r>
      <w:r w:rsidR="00A34DB2" w:rsidRPr="002F44C2">
        <w:rPr>
          <w:rFonts w:eastAsia="Times New Roman"/>
          <w:noProof/>
          <w:u w:val="single"/>
        </w:rPr>
        <w:t>100</w:t>
      </w:r>
      <w:r w:rsidRPr="002F44C2">
        <w:rPr>
          <w:rFonts w:eastAsia="Times New Roman"/>
          <w:noProof/>
          <w:u w:val="single"/>
        </w:rPr>
        <w:t>%</w:t>
      </w:r>
    </w:p>
    <w:p w14:paraId="06C158CF" w14:textId="1C8B53EC" w:rsidR="002F44C2" w:rsidRDefault="001A2A09" w:rsidP="00BD4DA2">
      <w:pPr>
        <w:widowControl w:val="0"/>
        <w:autoSpaceDE w:val="0"/>
        <w:autoSpaceDN w:val="0"/>
        <w:adjustRightInd w:val="0"/>
        <w:spacing w:line="360" w:lineRule="auto"/>
        <w:jc w:val="both"/>
        <w:outlineLvl w:val="0"/>
      </w:pPr>
      <w:r w:rsidRPr="001A2A09">
        <w:rPr>
          <w:noProof/>
        </w:rPr>
        <w:drawing>
          <wp:inline distT="0" distB="0" distL="0" distR="0" wp14:anchorId="4CA5B2CC" wp14:editId="3234541B">
            <wp:extent cx="6332220" cy="667131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2220" cy="6671310"/>
                    </a:xfrm>
                    <a:prstGeom prst="rect">
                      <a:avLst/>
                    </a:prstGeom>
                    <a:noFill/>
                    <a:ln>
                      <a:noFill/>
                    </a:ln>
                  </pic:spPr>
                </pic:pic>
              </a:graphicData>
            </a:graphic>
          </wp:inline>
        </w:drawing>
      </w:r>
    </w:p>
    <w:p w14:paraId="281F3C7C" w14:textId="20D39B7F" w:rsidR="001A2A09" w:rsidRDefault="001A2A09" w:rsidP="00BD4DA2">
      <w:pPr>
        <w:widowControl w:val="0"/>
        <w:autoSpaceDE w:val="0"/>
        <w:autoSpaceDN w:val="0"/>
        <w:adjustRightInd w:val="0"/>
        <w:spacing w:line="360" w:lineRule="auto"/>
        <w:jc w:val="both"/>
        <w:outlineLvl w:val="0"/>
      </w:pPr>
      <w:r w:rsidRPr="001A2A09">
        <w:rPr>
          <w:noProof/>
        </w:rPr>
        <w:lastRenderedPageBreak/>
        <w:drawing>
          <wp:inline distT="0" distB="0" distL="0" distR="0" wp14:anchorId="7B43A599" wp14:editId="20E87ADF">
            <wp:extent cx="6332220" cy="8131175"/>
            <wp:effectExtent l="0" t="0" r="0" b="317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2220" cy="8131175"/>
                    </a:xfrm>
                    <a:prstGeom prst="rect">
                      <a:avLst/>
                    </a:prstGeom>
                    <a:noFill/>
                    <a:ln>
                      <a:noFill/>
                    </a:ln>
                  </pic:spPr>
                </pic:pic>
              </a:graphicData>
            </a:graphic>
          </wp:inline>
        </w:drawing>
      </w:r>
    </w:p>
    <w:p w14:paraId="557D5632" w14:textId="77777777" w:rsidR="00BD4DA2" w:rsidRPr="002748C6" w:rsidRDefault="00BD4DA2" w:rsidP="00BD4DA2">
      <w:pPr>
        <w:widowControl w:val="0"/>
        <w:autoSpaceDE w:val="0"/>
        <w:autoSpaceDN w:val="0"/>
        <w:adjustRightInd w:val="0"/>
        <w:spacing w:line="360" w:lineRule="auto"/>
        <w:jc w:val="both"/>
        <w:rPr>
          <w:rFonts w:eastAsia="Times New Roman"/>
          <w:noProof/>
          <w:sz w:val="2"/>
          <w:szCs w:val="2"/>
        </w:rPr>
      </w:pPr>
    </w:p>
    <w:p w14:paraId="4460A98F" w14:textId="77777777" w:rsidR="00BD4DA2" w:rsidRPr="002748C6" w:rsidRDefault="00BD4DA2" w:rsidP="00BD4DA2">
      <w:pPr>
        <w:widowControl w:val="0"/>
        <w:autoSpaceDE w:val="0"/>
        <w:autoSpaceDN w:val="0"/>
        <w:adjustRightInd w:val="0"/>
        <w:spacing w:line="360" w:lineRule="auto"/>
        <w:jc w:val="both"/>
        <w:rPr>
          <w:rFonts w:eastAsia="Times New Roman"/>
          <w:noProof/>
          <w:sz w:val="2"/>
          <w:szCs w:val="2"/>
        </w:rPr>
      </w:pPr>
    </w:p>
    <w:p w14:paraId="4B55B448" w14:textId="77777777" w:rsidR="00BD4DA2" w:rsidRPr="002748C6" w:rsidRDefault="00BD4DA2" w:rsidP="00BD4DA2">
      <w:pPr>
        <w:widowControl w:val="0"/>
        <w:autoSpaceDE w:val="0"/>
        <w:autoSpaceDN w:val="0"/>
        <w:adjustRightInd w:val="0"/>
        <w:spacing w:line="360" w:lineRule="auto"/>
        <w:jc w:val="both"/>
        <w:rPr>
          <w:rFonts w:eastAsia="Times New Roman"/>
          <w:noProof/>
          <w:sz w:val="2"/>
          <w:szCs w:val="2"/>
        </w:rPr>
      </w:pPr>
    </w:p>
    <w:p w14:paraId="31F20620" w14:textId="77777777" w:rsidR="00BD4DA2" w:rsidRPr="002748C6" w:rsidRDefault="00BD4DA2" w:rsidP="00BD4DA2">
      <w:pPr>
        <w:widowControl w:val="0"/>
        <w:autoSpaceDE w:val="0"/>
        <w:autoSpaceDN w:val="0"/>
        <w:adjustRightInd w:val="0"/>
        <w:spacing w:line="360" w:lineRule="auto"/>
        <w:jc w:val="both"/>
        <w:rPr>
          <w:rFonts w:eastAsia="Times New Roman"/>
          <w:noProof/>
          <w:sz w:val="2"/>
          <w:szCs w:val="2"/>
        </w:rPr>
      </w:pPr>
    </w:p>
    <w:p w14:paraId="2CE1B68B" w14:textId="77777777" w:rsidR="00BD4DA2" w:rsidRPr="002748C6" w:rsidRDefault="00BD4DA2" w:rsidP="00BD4DA2">
      <w:pPr>
        <w:widowControl w:val="0"/>
        <w:autoSpaceDE w:val="0"/>
        <w:autoSpaceDN w:val="0"/>
        <w:adjustRightInd w:val="0"/>
        <w:spacing w:line="360" w:lineRule="auto"/>
        <w:jc w:val="both"/>
        <w:rPr>
          <w:rFonts w:eastAsia="Times New Roman"/>
          <w:noProof/>
          <w:sz w:val="2"/>
          <w:szCs w:val="2"/>
        </w:rPr>
      </w:pPr>
    </w:p>
    <w:p w14:paraId="6A24BFD2" w14:textId="77777777" w:rsidR="00BD4DA2" w:rsidRPr="002748C6" w:rsidRDefault="00BD4DA2" w:rsidP="00BD4DA2">
      <w:pPr>
        <w:widowControl w:val="0"/>
        <w:autoSpaceDE w:val="0"/>
        <w:autoSpaceDN w:val="0"/>
        <w:adjustRightInd w:val="0"/>
        <w:spacing w:line="360" w:lineRule="auto"/>
        <w:jc w:val="both"/>
        <w:rPr>
          <w:rFonts w:eastAsia="Times New Roman"/>
          <w:noProof/>
          <w:sz w:val="2"/>
          <w:szCs w:val="2"/>
        </w:rPr>
      </w:pPr>
    </w:p>
    <w:p w14:paraId="1EDFC684" w14:textId="77777777" w:rsidR="00BD4DA2" w:rsidRPr="002748C6" w:rsidRDefault="00BD4DA2" w:rsidP="00BD4DA2">
      <w:pPr>
        <w:widowControl w:val="0"/>
        <w:autoSpaceDE w:val="0"/>
        <w:autoSpaceDN w:val="0"/>
        <w:adjustRightInd w:val="0"/>
        <w:spacing w:line="360" w:lineRule="auto"/>
        <w:jc w:val="both"/>
        <w:rPr>
          <w:rFonts w:eastAsia="Times New Roman"/>
          <w:noProof/>
          <w:sz w:val="2"/>
          <w:szCs w:val="2"/>
        </w:rPr>
      </w:pPr>
    </w:p>
    <w:p w14:paraId="09CF66A9" w14:textId="77777777" w:rsidR="00BD4DA2" w:rsidRPr="002748C6" w:rsidRDefault="00BD4DA2"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sz w:val="2"/>
          <w:szCs w:val="2"/>
        </w:rPr>
      </w:pPr>
    </w:p>
    <w:p w14:paraId="74A2176A" w14:textId="77777777" w:rsidR="00FE1291" w:rsidRPr="002748C6" w:rsidRDefault="00FE1291"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sz w:val="2"/>
          <w:szCs w:val="2"/>
        </w:rPr>
      </w:pPr>
    </w:p>
    <w:p w14:paraId="09693C4A" w14:textId="77777777" w:rsidR="00BD4DA2" w:rsidRPr="00E90956" w:rsidRDefault="00BD4DA2" w:rsidP="00BD4D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outlineLvl w:val="0"/>
        <w:rPr>
          <w:rFonts w:ascii="Cambria" w:hAnsi="Cambria" w:cs="Times New Roman"/>
          <w:b/>
          <w:u w:val="single"/>
        </w:rPr>
      </w:pPr>
      <w:r w:rsidRPr="00E90956">
        <w:rPr>
          <w:rFonts w:ascii="Cambria" w:hAnsi="Cambria" w:cs="Times New Roman"/>
          <w:b/>
          <w:u w:val="single"/>
        </w:rPr>
        <w:t>ESERCIZIO 202</w:t>
      </w:r>
      <w:r w:rsidR="00F97015">
        <w:rPr>
          <w:rFonts w:ascii="Cambria" w:hAnsi="Cambria" w:cs="Times New Roman"/>
          <w:b/>
          <w:u w:val="single"/>
        </w:rPr>
        <w:t>3</w:t>
      </w:r>
    </w:p>
    <w:p w14:paraId="253AA340" w14:textId="77777777" w:rsidR="00BD4DA2" w:rsidRPr="00B625C4" w:rsidRDefault="00BD4DA2" w:rsidP="00BD4DA2">
      <w:pPr>
        <w:widowControl w:val="0"/>
        <w:autoSpaceDE w:val="0"/>
        <w:autoSpaceDN w:val="0"/>
        <w:adjustRightInd w:val="0"/>
        <w:spacing w:line="360" w:lineRule="auto"/>
        <w:jc w:val="both"/>
        <w:outlineLvl w:val="0"/>
        <w:rPr>
          <w:rFonts w:eastAsia="Times New Roman"/>
          <w:noProof/>
          <w:u w:val="single"/>
        </w:rPr>
      </w:pPr>
      <w:r w:rsidRPr="00B625C4">
        <w:rPr>
          <w:rFonts w:eastAsia="Times New Roman"/>
          <w:noProof/>
          <w:u w:val="single"/>
        </w:rPr>
        <w:t>Percentuale di accantonamento obbligatorio al fondo: 100%</w:t>
      </w:r>
    </w:p>
    <w:p w14:paraId="559582D9" w14:textId="77777777" w:rsidR="00BD4DA2" w:rsidRDefault="00BD4DA2" w:rsidP="00BD4DA2">
      <w:pPr>
        <w:widowControl w:val="0"/>
        <w:autoSpaceDE w:val="0"/>
        <w:autoSpaceDN w:val="0"/>
        <w:adjustRightInd w:val="0"/>
        <w:spacing w:line="360" w:lineRule="auto"/>
        <w:jc w:val="both"/>
        <w:outlineLvl w:val="0"/>
        <w:rPr>
          <w:rFonts w:eastAsia="Times New Roman"/>
          <w:noProof/>
          <w:u w:val="single"/>
        </w:rPr>
      </w:pPr>
      <w:r w:rsidRPr="00B625C4">
        <w:rPr>
          <w:rFonts w:eastAsia="Times New Roman"/>
          <w:noProof/>
          <w:u w:val="single"/>
        </w:rPr>
        <w:t>Percentuale di accantonamento effettiva a bilancio: 100%</w:t>
      </w:r>
    </w:p>
    <w:p w14:paraId="63C9AC4D" w14:textId="3D8AC5A9" w:rsidR="00B625C4" w:rsidRDefault="00B625C4" w:rsidP="00BD4DA2">
      <w:pPr>
        <w:widowControl w:val="0"/>
        <w:autoSpaceDE w:val="0"/>
        <w:autoSpaceDN w:val="0"/>
        <w:adjustRightInd w:val="0"/>
        <w:spacing w:line="360" w:lineRule="auto"/>
        <w:jc w:val="both"/>
        <w:outlineLvl w:val="0"/>
        <w:rPr>
          <w:rFonts w:eastAsia="Times New Roman"/>
          <w:noProof/>
          <w:u w:val="single"/>
        </w:rPr>
      </w:pPr>
    </w:p>
    <w:p w14:paraId="2538C747" w14:textId="250FF5C9" w:rsidR="0089391A" w:rsidRDefault="001A2A09" w:rsidP="00BD4DA2">
      <w:pPr>
        <w:widowControl w:val="0"/>
        <w:autoSpaceDE w:val="0"/>
        <w:autoSpaceDN w:val="0"/>
        <w:adjustRightInd w:val="0"/>
        <w:spacing w:line="360" w:lineRule="auto"/>
        <w:jc w:val="both"/>
        <w:outlineLvl w:val="0"/>
        <w:rPr>
          <w:rFonts w:eastAsia="Times New Roman"/>
          <w:noProof/>
          <w:u w:val="single"/>
        </w:rPr>
      </w:pPr>
      <w:r w:rsidRPr="001A2A09">
        <w:rPr>
          <w:noProof/>
        </w:rPr>
        <w:drawing>
          <wp:inline distT="0" distB="0" distL="0" distR="0" wp14:anchorId="5792E3C1" wp14:editId="362E30B9">
            <wp:extent cx="6332220" cy="667131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6671310"/>
                    </a:xfrm>
                    <a:prstGeom prst="rect">
                      <a:avLst/>
                    </a:prstGeom>
                    <a:noFill/>
                    <a:ln>
                      <a:noFill/>
                    </a:ln>
                  </pic:spPr>
                </pic:pic>
              </a:graphicData>
            </a:graphic>
          </wp:inline>
        </w:drawing>
      </w:r>
    </w:p>
    <w:p w14:paraId="7054EBEB" w14:textId="49D1E123" w:rsidR="001A2A09" w:rsidRPr="00E90956" w:rsidRDefault="001A2A09" w:rsidP="00BD4DA2">
      <w:pPr>
        <w:widowControl w:val="0"/>
        <w:autoSpaceDE w:val="0"/>
        <w:autoSpaceDN w:val="0"/>
        <w:adjustRightInd w:val="0"/>
        <w:spacing w:line="360" w:lineRule="auto"/>
        <w:jc w:val="both"/>
        <w:outlineLvl w:val="0"/>
        <w:rPr>
          <w:rFonts w:eastAsia="Times New Roman"/>
          <w:noProof/>
          <w:u w:val="single"/>
        </w:rPr>
      </w:pPr>
      <w:r w:rsidRPr="001A2A09">
        <w:rPr>
          <w:noProof/>
        </w:rPr>
        <w:lastRenderedPageBreak/>
        <w:drawing>
          <wp:inline distT="0" distB="0" distL="0" distR="0" wp14:anchorId="77A314DF" wp14:editId="5F627F1C">
            <wp:extent cx="6332220" cy="8131175"/>
            <wp:effectExtent l="0" t="0" r="0" b="317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2220" cy="8131175"/>
                    </a:xfrm>
                    <a:prstGeom prst="rect">
                      <a:avLst/>
                    </a:prstGeom>
                    <a:noFill/>
                    <a:ln>
                      <a:noFill/>
                    </a:ln>
                  </pic:spPr>
                </pic:pic>
              </a:graphicData>
            </a:graphic>
          </wp:inline>
        </w:drawing>
      </w:r>
    </w:p>
    <w:p w14:paraId="0E41AC16" w14:textId="77777777" w:rsidR="00BD4DA2" w:rsidRPr="002748C6" w:rsidRDefault="00B625C4" w:rsidP="00BD4DA2">
      <w:pPr>
        <w:widowControl w:val="0"/>
        <w:autoSpaceDE w:val="0"/>
        <w:autoSpaceDN w:val="0"/>
        <w:adjustRightInd w:val="0"/>
        <w:spacing w:line="360" w:lineRule="auto"/>
        <w:jc w:val="both"/>
        <w:rPr>
          <w:rFonts w:cstheme="minorHAnsi"/>
          <w:sz w:val="2"/>
          <w:szCs w:val="2"/>
        </w:rPr>
      </w:pPr>
      <w:r>
        <w:rPr>
          <w:rFonts w:cstheme="minorHAnsi"/>
          <w:sz w:val="2"/>
          <w:szCs w:val="2"/>
        </w:rPr>
        <w:t xml:space="preserve"> </w:t>
      </w:r>
    </w:p>
    <w:p w14:paraId="087391CD" w14:textId="77777777" w:rsidR="00AC36DA" w:rsidRPr="002748C6" w:rsidRDefault="00AC36DA" w:rsidP="00BD4DA2">
      <w:pPr>
        <w:widowControl w:val="0"/>
        <w:autoSpaceDE w:val="0"/>
        <w:autoSpaceDN w:val="0"/>
        <w:adjustRightInd w:val="0"/>
        <w:spacing w:line="360" w:lineRule="auto"/>
        <w:jc w:val="both"/>
        <w:rPr>
          <w:rFonts w:eastAsia="Times New Roman" w:cstheme="minorHAnsi"/>
          <w:noProof/>
          <w:sz w:val="2"/>
          <w:szCs w:val="2"/>
        </w:rPr>
      </w:pPr>
    </w:p>
    <w:p w14:paraId="54AD15BA" w14:textId="77777777" w:rsidR="00BD4DA2" w:rsidRPr="002748C6" w:rsidRDefault="00BD4DA2" w:rsidP="00BD4DA2">
      <w:pPr>
        <w:widowControl w:val="0"/>
        <w:autoSpaceDE w:val="0"/>
        <w:autoSpaceDN w:val="0"/>
        <w:adjustRightInd w:val="0"/>
        <w:spacing w:line="360" w:lineRule="auto"/>
        <w:jc w:val="both"/>
        <w:rPr>
          <w:rFonts w:cstheme="minorHAnsi"/>
          <w:sz w:val="2"/>
          <w:szCs w:val="2"/>
        </w:rPr>
      </w:pPr>
    </w:p>
    <w:p w14:paraId="0F275983" w14:textId="77777777" w:rsidR="00876469" w:rsidRPr="002748C6" w:rsidRDefault="00876469" w:rsidP="00BD4DA2">
      <w:pPr>
        <w:widowControl w:val="0"/>
        <w:autoSpaceDE w:val="0"/>
        <w:autoSpaceDN w:val="0"/>
        <w:adjustRightInd w:val="0"/>
        <w:spacing w:line="360" w:lineRule="auto"/>
        <w:jc w:val="both"/>
        <w:rPr>
          <w:rFonts w:cstheme="minorHAnsi"/>
          <w:sz w:val="2"/>
          <w:szCs w:val="2"/>
        </w:rPr>
      </w:pPr>
    </w:p>
    <w:p w14:paraId="73A1C15E" w14:textId="77777777" w:rsidR="00AC36DA" w:rsidRPr="002748C6" w:rsidRDefault="00AC36DA" w:rsidP="00BD4DA2">
      <w:pPr>
        <w:widowControl w:val="0"/>
        <w:autoSpaceDE w:val="0"/>
        <w:autoSpaceDN w:val="0"/>
        <w:adjustRightInd w:val="0"/>
        <w:spacing w:line="360" w:lineRule="auto"/>
        <w:jc w:val="both"/>
        <w:rPr>
          <w:rFonts w:eastAsia="Times New Roman" w:cstheme="minorHAnsi"/>
          <w:noProof/>
          <w:sz w:val="2"/>
          <w:szCs w:val="2"/>
        </w:rPr>
      </w:pPr>
    </w:p>
    <w:p w14:paraId="1F8417A1" w14:textId="77777777" w:rsidR="00BD4DA2" w:rsidRPr="002921B1" w:rsidRDefault="00BD4DA2" w:rsidP="00BD4DA2">
      <w:pPr>
        <w:pStyle w:val="Sfondochiaro-Colore21"/>
        <w:outlineLvl w:val="0"/>
      </w:pPr>
      <w:r w:rsidRPr="00766A03">
        <w:lastRenderedPageBreak/>
        <w:t xml:space="preserve">FONDO </w:t>
      </w:r>
      <w:r>
        <w:t>DI GARANZIA DEBITI COMMERCIALI</w:t>
      </w:r>
    </w:p>
    <w:p w14:paraId="2AE366CC" w14:textId="77777777" w:rsidR="00F14931" w:rsidRDefault="00F14931"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F14931">
        <w:rPr>
          <w:rFonts w:ascii="Cambria" w:hAnsi="Cambria" w:cs="Times New Roman"/>
        </w:rPr>
        <w:t>La legge di bilancio n. 145 del 2018 e ss.mm.ii introduce, all’art 1 commi 859-863, una sostanziale novità</w:t>
      </w:r>
      <w:r>
        <w:rPr>
          <w:rFonts w:ascii="Cambria" w:hAnsi="Cambria" w:cs="Times New Roman"/>
        </w:rPr>
        <w:t xml:space="preserve"> a far data dall’esercizio 2021</w:t>
      </w:r>
      <w:r w:rsidRPr="00F14931">
        <w:rPr>
          <w:rFonts w:ascii="Cambria" w:hAnsi="Cambria" w:cs="Times New Roman"/>
        </w:rPr>
        <w:t>: il fondo di garanzia dei debiti commerciali</w:t>
      </w:r>
      <w:r w:rsidR="00996B52" w:rsidRPr="001C40FD">
        <w:rPr>
          <w:rFonts w:ascii="Cambria" w:hAnsi="Cambria" w:cs="Times New Roman"/>
        </w:rPr>
        <w:t xml:space="preserve">. </w:t>
      </w:r>
    </w:p>
    <w:p w14:paraId="298B454B" w14:textId="70EB5AC7" w:rsidR="007B1281" w:rsidRPr="001C40FD" w:rsidRDefault="007B1281"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1C40FD">
        <w:rPr>
          <w:rFonts w:ascii="Cambria" w:hAnsi="Cambria" w:cs="Times New Roman"/>
        </w:rPr>
        <w:t xml:space="preserve">Tale </w:t>
      </w:r>
      <w:r w:rsidR="00996B52" w:rsidRPr="001C40FD">
        <w:rPr>
          <w:rFonts w:ascii="Cambria" w:hAnsi="Cambria" w:cs="Times New Roman"/>
        </w:rPr>
        <w:t>accantonamento, calcolato in percentuale variabile sugli stanzia</w:t>
      </w:r>
      <w:r w:rsidR="003E16C9">
        <w:rPr>
          <w:rFonts w:ascii="Cambria" w:hAnsi="Cambria" w:cs="Times New Roman"/>
        </w:rPr>
        <w:t>menti di spesa del bilancio 2021-2023</w:t>
      </w:r>
      <w:r w:rsidR="00996B52" w:rsidRPr="001C40FD">
        <w:rPr>
          <w:rFonts w:ascii="Cambria" w:hAnsi="Cambria" w:cs="Times New Roman"/>
        </w:rPr>
        <w:t xml:space="preserve"> per acquisto di beni e servizi (macroaggregato 103) </w:t>
      </w:r>
      <w:r w:rsidRPr="001C40FD">
        <w:rPr>
          <w:rFonts w:ascii="Cambria" w:hAnsi="Cambria" w:cs="Times New Roman"/>
        </w:rPr>
        <w:t xml:space="preserve">con esclusione degli stanziamenti di spesa che utilizzano risorse con specifico vincolo di destinazione, </w:t>
      </w:r>
      <w:r w:rsidR="00996B52" w:rsidRPr="001C40FD">
        <w:rPr>
          <w:rFonts w:ascii="Cambria" w:hAnsi="Cambria" w:cs="Times New Roman"/>
        </w:rPr>
        <w:t>è obbligatorio nel caso in cui:</w:t>
      </w:r>
    </w:p>
    <w:p w14:paraId="5EEE24DD" w14:textId="77777777" w:rsidR="002F4B47" w:rsidRPr="001C40FD" w:rsidRDefault="00996B52"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7D02F0">
        <w:rPr>
          <w:rFonts w:ascii="Cambria" w:hAnsi="Cambria" w:cs="Times New Roman"/>
        </w:rPr>
        <w:t xml:space="preserve">• </w:t>
      </w:r>
      <w:r w:rsidR="003E16C9" w:rsidRPr="007D02F0">
        <w:rPr>
          <w:rFonts w:ascii="Cambria" w:hAnsi="Cambria" w:cs="Times New Roman"/>
          <w:u w:val="single"/>
        </w:rPr>
        <w:t>l'ente presenti nel 2020</w:t>
      </w:r>
      <w:r w:rsidRPr="007D02F0">
        <w:rPr>
          <w:rFonts w:ascii="Cambria" w:hAnsi="Cambria" w:cs="Times New Roman"/>
          <w:u w:val="single"/>
        </w:rPr>
        <w:t xml:space="preserve"> un indicatore di ritardo</w:t>
      </w:r>
      <w:r w:rsidRPr="007D02F0">
        <w:rPr>
          <w:rFonts w:ascii="Cambria" w:hAnsi="Cambria" w:cs="Times New Roman"/>
        </w:rPr>
        <w:t>, calcolato sulle fatture ricevute e scadute nell'anno precedente, non rispettoso dei termini di pagament</w:t>
      </w:r>
      <w:r w:rsidR="007C419D" w:rsidRPr="007D02F0">
        <w:rPr>
          <w:rFonts w:ascii="Cambria" w:hAnsi="Cambria" w:cs="Times New Roman"/>
        </w:rPr>
        <w:t>o delle transazioni commerciali</w:t>
      </w:r>
      <w:r w:rsidRPr="007D02F0">
        <w:rPr>
          <w:rFonts w:ascii="Cambria" w:hAnsi="Cambria" w:cs="Times New Roman"/>
        </w:rPr>
        <w:t xml:space="preserve">. Il </w:t>
      </w:r>
      <w:r w:rsidR="007C419D" w:rsidRPr="007D02F0">
        <w:rPr>
          <w:rFonts w:ascii="Cambria" w:hAnsi="Cambria" w:cs="Times New Roman"/>
        </w:rPr>
        <w:t>D.L 124 del 26 ottobre 2019</w:t>
      </w:r>
      <w:r w:rsidRPr="007D02F0">
        <w:rPr>
          <w:rFonts w:ascii="Cambria" w:hAnsi="Cambria" w:cs="Times New Roman"/>
        </w:rPr>
        <w:t xml:space="preserve"> consente agli enti, per il solo anno 2019, di calcolare l'indicatore sulla base delle proprie registrazioni contabili</w:t>
      </w:r>
      <w:r w:rsidR="007C419D" w:rsidRPr="007D02F0">
        <w:rPr>
          <w:rFonts w:ascii="Cambria" w:hAnsi="Cambria" w:cs="Times New Roman"/>
        </w:rPr>
        <w:t xml:space="preserve">. </w:t>
      </w:r>
      <w:r w:rsidRPr="007D02F0">
        <w:rPr>
          <w:rFonts w:ascii="Cambria" w:hAnsi="Cambria" w:cs="Times New Roman"/>
        </w:rPr>
        <w:t xml:space="preserve"> In caso di ritardo, l'obbligo di accantonamento </w:t>
      </w:r>
      <w:r w:rsidR="002F4B47" w:rsidRPr="007D02F0">
        <w:rPr>
          <w:rFonts w:ascii="Cambria" w:hAnsi="Cambria" w:cs="Times New Roman"/>
        </w:rPr>
        <w:t>è pari:</w:t>
      </w:r>
    </w:p>
    <w:p w14:paraId="71090B39" w14:textId="77777777" w:rsidR="002F4B47" w:rsidRPr="001C40FD" w:rsidRDefault="002F4B47"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1C40FD">
        <w:rPr>
          <w:rFonts w:ascii="Cambria" w:hAnsi="Cambria" w:cs="Times New Roman"/>
        </w:rPr>
        <w:t xml:space="preserve">al 5 per cento degli stanziamenti riguardanti nell'esercizio in corso la spesa per acquisto di beni e servizi, in caso di ritardi superiori a sessanta giorni, registrati nell'esercizio precedente;  </w:t>
      </w:r>
    </w:p>
    <w:p w14:paraId="03007ADA" w14:textId="77777777" w:rsidR="002F4B47" w:rsidRPr="001C40FD" w:rsidRDefault="002F4B47"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1C40FD">
        <w:rPr>
          <w:rFonts w:ascii="Cambria" w:hAnsi="Cambria" w:cs="Times New Roman"/>
        </w:rPr>
        <w:t xml:space="preserve">al 3 per cento degli stanziamenti riguardanti nell'esercizio in corso la spesa per acquisto di beni e servizi, per ritardi compresi tra trentuno e sessanta giorni, registrati nell'esercizio precedente;  </w:t>
      </w:r>
    </w:p>
    <w:p w14:paraId="4475BB76" w14:textId="77777777" w:rsidR="002F4B47" w:rsidRPr="001C40FD" w:rsidRDefault="002F4B47"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1C40FD">
        <w:rPr>
          <w:rFonts w:ascii="Cambria" w:hAnsi="Cambria" w:cs="Times New Roman"/>
        </w:rPr>
        <w:t xml:space="preserve">al 2 per cento degli stanziamenti riguardanti nell'esercizio in corso la spesa per acquisto di beni e servizi, per ritardi compresi tra undici e trenta giorni, registrati nell'esercizio precedente; </w:t>
      </w:r>
    </w:p>
    <w:p w14:paraId="73A57588" w14:textId="77777777" w:rsidR="002F4B47" w:rsidRPr="001C40FD" w:rsidRDefault="002F4B47"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1C40FD">
        <w:rPr>
          <w:rFonts w:ascii="Cambria" w:hAnsi="Cambria" w:cs="Times New Roman"/>
        </w:rPr>
        <w:t xml:space="preserve">all'1 per cento degli stanziamenti riguardanti nell'esercizio in corso la spesa per acquisto di beni e servizi, per ritardi compresi tra uno e dieci giorni, registrati nell'esercizio precedente. </w:t>
      </w:r>
    </w:p>
    <w:p w14:paraId="2D9AE72E" w14:textId="77777777" w:rsidR="00A8643F" w:rsidRPr="007D02F0" w:rsidRDefault="00996B52" w:rsidP="00A8643F">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7D02F0">
        <w:rPr>
          <w:rFonts w:ascii="Cambria" w:hAnsi="Cambria" w:cs="Times New Roman"/>
        </w:rPr>
        <w:t xml:space="preserve">• </w:t>
      </w:r>
      <w:r w:rsidRPr="007D02F0">
        <w:rPr>
          <w:rFonts w:ascii="Cambria" w:hAnsi="Cambria" w:cs="Times New Roman"/>
          <w:u w:val="single"/>
        </w:rPr>
        <w:t>l'ente non abbia ridotto</w:t>
      </w:r>
      <w:r w:rsidR="007D02F0" w:rsidRPr="007D02F0">
        <w:rPr>
          <w:rFonts w:ascii="Cambria" w:hAnsi="Cambria" w:cs="Times New Roman"/>
          <w:u w:val="single"/>
        </w:rPr>
        <w:t>, alla data del 31 dicembre 2020</w:t>
      </w:r>
      <w:r w:rsidRPr="007D02F0">
        <w:rPr>
          <w:rFonts w:ascii="Cambria" w:hAnsi="Cambria" w:cs="Times New Roman"/>
          <w:u w:val="single"/>
        </w:rPr>
        <w:t>, lo stock di debito commerciale scaduto e non pagato di almeno il 10% rispetto all'ammonta</w:t>
      </w:r>
      <w:r w:rsidR="007D02F0" w:rsidRPr="007D02F0">
        <w:rPr>
          <w:rFonts w:ascii="Cambria" w:hAnsi="Cambria" w:cs="Times New Roman"/>
          <w:u w:val="single"/>
        </w:rPr>
        <w:t>re registrato alla fine del 2019</w:t>
      </w:r>
      <w:r w:rsidRPr="007D02F0">
        <w:rPr>
          <w:rFonts w:ascii="Cambria" w:hAnsi="Cambria" w:cs="Times New Roman"/>
        </w:rPr>
        <w:t xml:space="preserve"> e comunicato alla piattaforma dei crediti commerciali. In questo caso il fondo ammonta al 5% degli stanziamenti.</w:t>
      </w:r>
      <w:r w:rsidR="00A8643F" w:rsidRPr="007D02F0">
        <w:rPr>
          <w:rFonts w:ascii="Cambria" w:hAnsi="Cambria" w:cs="Times New Roman"/>
        </w:rPr>
        <w:t xml:space="preserve"> L’Ente che, seppur trovandosi in questa fattis</w:t>
      </w:r>
      <w:r w:rsidR="007D02F0" w:rsidRPr="007D02F0">
        <w:rPr>
          <w:rFonts w:ascii="Cambria" w:hAnsi="Cambria" w:cs="Times New Roman"/>
        </w:rPr>
        <w:t>pecie, ma che alla fine del 2020</w:t>
      </w:r>
      <w:r w:rsidR="00A8643F" w:rsidRPr="007D02F0">
        <w:rPr>
          <w:rFonts w:ascii="Cambria" w:hAnsi="Cambria" w:cs="Times New Roman"/>
        </w:rPr>
        <w:t xml:space="preserve"> presenti uno stock di debito scaduto non superiore al 5% delle fatture ricevute nell'anno, </w:t>
      </w:r>
      <w:r w:rsidR="00A8643F" w:rsidRPr="007D02F0">
        <w:rPr>
          <w:rFonts w:ascii="Cambria" w:hAnsi="Cambria" w:cs="Times New Roman"/>
          <w:u w:val="single"/>
        </w:rPr>
        <w:t xml:space="preserve">non è comunque tenuto ad accantonare il fondo di garanzia. </w:t>
      </w:r>
    </w:p>
    <w:p w14:paraId="2AA3A475" w14:textId="77777777" w:rsidR="002F4B47" w:rsidRPr="00322A95" w:rsidRDefault="00996B52" w:rsidP="002F4B4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7D02F0">
        <w:rPr>
          <w:rFonts w:ascii="Cambria" w:hAnsi="Cambria" w:cs="Times New Roman"/>
        </w:rPr>
        <w:t xml:space="preserve">• </w:t>
      </w:r>
      <w:r w:rsidRPr="007D02F0">
        <w:rPr>
          <w:rFonts w:ascii="Cambria" w:hAnsi="Cambria" w:cs="Times New Roman"/>
          <w:u w:val="single"/>
        </w:rPr>
        <w:t>l'ente non abbia assolto agli obblighi di comunicazione dei pagamenti alla piattaforma dei crediti commerciali e di trasparenza dei pagamenti sul proprio sito istituzionale</w:t>
      </w:r>
      <w:r w:rsidRPr="007D02F0">
        <w:rPr>
          <w:rFonts w:ascii="Cambria" w:hAnsi="Cambria" w:cs="Times New Roman"/>
        </w:rPr>
        <w:t xml:space="preserve">, in base al Dlgs 33/2013 </w:t>
      </w:r>
      <w:r w:rsidRPr="00322A95">
        <w:rPr>
          <w:rFonts w:ascii="Cambria" w:hAnsi="Cambria" w:cs="Times New Roman"/>
        </w:rPr>
        <w:t>(</w:t>
      </w:r>
      <w:r w:rsidR="002F4B47" w:rsidRPr="00322A95">
        <w:rPr>
          <w:rFonts w:ascii="Cambria" w:hAnsi="Cambria" w:cs="Times New Roman"/>
        </w:rPr>
        <w:t xml:space="preserve">anche in questo caso l’obbligo di </w:t>
      </w:r>
      <w:r w:rsidRPr="00322A95">
        <w:rPr>
          <w:rFonts w:ascii="Cambria" w:hAnsi="Cambria" w:cs="Times New Roman"/>
        </w:rPr>
        <w:t xml:space="preserve">accantonamento </w:t>
      </w:r>
      <w:r w:rsidR="002F4B47" w:rsidRPr="00322A95">
        <w:rPr>
          <w:rFonts w:ascii="Cambria" w:hAnsi="Cambria" w:cs="Times New Roman"/>
        </w:rPr>
        <w:t xml:space="preserve">è </w:t>
      </w:r>
      <w:r w:rsidRPr="00322A95">
        <w:rPr>
          <w:rFonts w:ascii="Cambria" w:hAnsi="Cambria" w:cs="Times New Roman"/>
        </w:rPr>
        <w:t>pari al 5%).</w:t>
      </w:r>
    </w:p>
    <w:p w14:paraId="14CD7A47" w14:textId="77777777" w:rsidR="005126F1" w:rsidRDefault="00F14931" w:rsidP="00360CD0">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322A95">
        <w:rPr>
          <w:rFonts w:ascii="Cambria" w:hAnsi="Cambria" w:cs="Times New Roman"/>
        </w:rPr>
        <w:t>Nonostante il comma 859</w:t>
      </w:r>
      <w:r w:rsidR="00D67F2D" w:rsidRPr="00322A95">
        <w:rPr>
          <w:rFonts w:ascii="Cambria" w:hAnsi="Cambria" w:cs="Times New Roman"/>
        </w:rPr>
        <w:t xml:space="preserve"> così come modificato dal DL 124/2019 preveda</w:t>
      </w:r>
      <w:r w:rsidR="00996B52" w:rsidRPr="00322A95">
        <w:rPr>
          <w:rFonts w:ascii="Cambria" w:hAnsi="Cambria" w:cs="Times New Roman"/>
        </w:rPr>
        <w:t xml:space="preserve"> che il fondo sia quantificato dalla giunta comunale entro il 28 febbraio dell'anno di riferimento</w:t>
      </w:r>
      <w:r w:rsidRPr="00322A95">
        <w:rPr>
          <w:rFonts w:ascii="Cambria" w:hAnsi="Cambria" w:cs="Times New Roman"/>
        </w:rPr>
        <w:t>,</w:t>
      </w:r>
      <w:r w:rsidR="00996B52" w:rsidRPr="00322A95">
        <w:rPr>
          <w:rFonts w:ascii="Cambria" w:hAnsi="Cambria" w:cs="Times New Roman"/>
        </w:rPr>
        <w:t xml:space="preserve"> </w:t>
      </w:r>
      <w:r w:rsidR="00722E68" w:rsidRPr="00322A95">
        <w:rPr>
          <w:rFonts w:ascii="Cambria" w:hAnsi="Cambria" w:cs="Times New Roman"/>
        </w:rPr>
        <w:t xml:space="preserve">l’Ente ha ritenuto </w:t>
      </w:r>
      <w:r w:rsidR="00722E68" w:rsidRPr="00322A95">
        <w:rPr>
          <w:rFonts w:ascii="Cambria" w:hAnsi="Cambria" w:cs="Times New Roman"/>
        </w:rPr>
        <w:lastRenderedPageBreak/>
        <w:t>corretto</w:t>
      </w:r>
      <w:r w:rsidR="00D67F2D" w:rsidRPr="00322A95">
        <w:rPr>
          <w:rFonts w:ascii="Cambria" w:hAnsi="Cambria" w:cs="Times New Roman"/>
        </w:rPr>
        <w:t xml:space="preserve"> </w:t>
      </w:r>
      <w:r w:rsidR="00996B52" w:rsidRPr="00322A95">
        <w:rPr>
          <w:rFonts w:ascii="Cambria" w:hAnsi="Cambria" w:cs="Times New Roman"/>
        </w:rPr>
        <w:t>stanziarlo in bilancio sin dalla sua iniziale approvazione</w:t>
      </w:r>
      <w:r w:rsidR="005A0D05" w:rsidRPr="00322A95">
        <w:rPr>
          <w:rFonts w:ascii="Cambria" w:hAnsi="Cambria" w:cs="Times New Roman"/>
        </w:rPr>
        <w:t>, calcolandolo</w:t>
      </w:r>
      <w:r w:rsidR="00D67F2D" w:rsidRPr="00322A95">
        <w:rPr>
          <w:rFonts w:ascii="Cambria" w:hAnsi="Cambria" w:cs="Times New Roman"/>
        </w:rPr>
        <w:t xml:space="preserve"> in base ai dati </w:t>
      </w:r>
      <w:r w:rsidR="005A0D05" w:rsidRPr="00322A95">
        <w:rPr>
          <w:rFonts w:ascii="Cambria" w:hAnsi="Cambria" w:cs="Times New Roman"/>
        </w:rPr>
        <w:t>in possesso alla data di redazione del bilancio di previsione, rimandandone comunque la puntuale definizione entro il termine previsto dalla normativa vigente.</w:t>
      </w:r>
      <w:r w:rsidR="005126F1">
        <w:rPr>
          <w:rFonts w:ascii="Cambria" w:hAnsi="Cambria" w:cs="Times New Roman"/>
        </w:rPr>
        <w:t xml:space="preserve"> </w:t>
      </w:r>
    </w:p>
    <w:p w14:paraId="1B00A505" w14:textId="605A9865" w:rsidR="00954E39" w:rsidRPr="009C38E7" w:rsidRDefault="00954E39" w:rsidP="00954E39">
      <w:pPr>
        <w:pStyle w:val="Normale0"/>
        <w:tabs>
          <w:tab w:val="left" w:pos="708"/>
        </w:tabs>
        <w:spacing w:line="360" w:lineRule="auto"/>
        <w:jc w:val="both"/>
        <w:rPr>
          <w:rFonts w:ascii="Cambria" w:hAnsi="Cambria" w:cs="Times New Roman"/>
        </w:rPr>
      </w:pPr>
      <w:r w:rsidRPr="009C38E7">
        <w:rPr>
          <w:rFonts w:ascii="Cambria" w:hAnsi="Cambria" w:cs="Times New Roman"/>
        </w:rPr>
        <w:t xml:space="preserve"> </w:t>
      </w:r>
    </w:p>
    <w:p w14:paraId="02C76592" w14:textId="77777777" w:rsidR="00677DCA" w:rsidRPr="004957B1" w:rsidRDefault="00503E81" w:rsidP="00503E81">
      <w:pPr>
        <w:pStyle w:val="Sfondochiaro-Colore21"/>
      </w:pPr>
      <w:r w:rsidRPr="004957B1">
        <w:t>ELENCO ANALITICO DELLE QUOTE VINCOLATE E ACCANTONATE DEL RISULTATO DI AMMINISTRAZIONE PRESUNTO AL 31 DICE</w:t>
      </w:r>
      <w:r w:rsidR="00BB2523" w:rsidRPr="004957B1">
        <w:t>MBRE DELL’ESERCIZIO PRECEDENTE</w:t>
      </w:r>
    </w:p>
    <w:p w14:paraId="369040B8" w14:textId="77777777" w:rsidR="00503E81" w:rsidRPr="001C40FD" w:rsidRDefault="00503E81" w:rsidP="00BB2523">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In occasione della predisposizione del bilancio di previsione è necessario procedere alla determinazione del risultato di amministrazione presunto, che consiste in una previsione ragionevole del risultato di amministrazione dell’eser</w:t>
      </w:r>
      <w:r w:rsidR="009C514A" w:rsidRPr="001C40FD">
        <w:rPr>
          <w:rFonts w:ascii="Cambria" w:hAnsi="Cambria" w:cs="Times New Roman"/>
        </w:rPr>
        <w:t>c</w:t>
      </w:r>
      <w:r w:rsidRPr="001C40FD">
        <w:rPr>
          <w:rFonts w:ascii="Cambria" w:hAnsi="Cambria" w:cs="Times New Roman"/>
        </w:rPr>
        <w:t>izio precedente, formulata in base alla situazione dei conti alla data di elaborazione del bilancio di previsione.</w:t>
      </w:r>
    </w:p>
    <w:p w14:paraId="570FB2E7" w14:textId="77777777" w:rsidR="00503E81" w:rsidRPr="001C40FD" w:rsidRDefault="00503E81" w:rsidP="00BB2523">
      <w:pPr>
        <w:pStyle w:val="Default"/>
        <w:spacing w:line="360" w:lineRule="auto"/>
        <w:jc w:val="both"/>
        <w:rPr>
          <w:rFonts w:ascii="Cambria" w:hAnsi="Cambria" w:cs="Times New Roman"/>
          <w:noProof/>
          <w:color w:val="auto"/>
        </w:rPr>
      </w:pPr>
      <w:r w:rsidRPr="001C40FD">
        <w:rPr>
          <w:rFonts w:ascii="Cambria" w:hAnsi="Cambria" w:cs="Times New Roman"/>
          <w:noProof/>
          <w:color w:val="auto"/>
        </w:rPr>
        <w:t xml:space="preserve">Costituiscono quota vincolata del risultato di amministrazione le entrate accertate e le corrispondenti economie di bilancio: </w:t>
      </w:r>
    </w:p>
    <w:p w14:paraId="104F3385" w14:textId="77777777" w:rsidR="00503E81" w:rsidRPr="001C40FD" w:rsidRDefault="00503E81" w:rsidP="00BB2523">
      <w:pPr>
        <w:pStyle w:val="Normale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nei casi in cui la legge o i principi contabili generali e applicati della contabilità finanziaria individuano</w:t>
      </w:r>
      <w:r w:rsidR="009C514A" w:rsidRPr="001C40FD">
        <w:rPr>
          <w:rFonts w:ascii="Cambria" w:hAnsi="Cambria" w:cs="Times New Roman"/>
        </w:rPr>
        <w:t xml:space="preserve"> </w:t>
      </w:r>
      <w:r w:rsidRPr="001C40FD">
        <w:rPr>
          <w:rFonts w:ascii="Cambria" w:hAnsi="Cambria" w:cs="Times New Roman"/>
        </w:rPr>
        <w:t>un vincolo di specifica destinazione dell’entrata alla spesa;</w:t>
      </w:r>
    </w:p>
    <w:p w14:paraId="4978227F" w14:textId="77777777" w:rsidR="00503E81" w:rsidRPr="001C40FD" w:rsidRDefault="00503E81" w:rsidP="00BB2523">
      <w:pPr>
        <w:pStyle w:val="Normale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derivanti da mutui e finanziamenti contratti per il finanziamento dei investimenti determinanti;</w:t>
      </w:r>
    </w:p>
    <w:p w14:paraId="20D05049" w14:textId="77777777" w:rsidR="00503E81" w:rsidRPr="001C40FD" w:rsidRDefault="00503E81" w:rsidP="00BB2523">
      <w:pPr>
        <w:pStyle w:val="Normale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derivanti da trasferimenti erogati a favore dell’ente per una specifica destinazione;</w:t>
      </w:r>
    </w:p>
    <w:p w14:paraId="72A4B471" w14:textId="77777777" w:rsidR="00503E81" w:rsidRPr="001C40FD" w:rsidRDefault="00F26E7E" w:rsidP="00BB2523">
      <w:pPr>
        <w:pStyle w:val="Normale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derivanti da entrate straor</w:t>
      </w:r>
      <w:r w:rsidR="00503E81" w:rsidRPr="001C40FD">
        <w:rPr>
          <w:rFonts w:ascii="Cambria" w:hAnsi="Cambria" w:cs="Times New Roman"/>
        </w:rPr>
        <w:t>dinarie, non aventi natura ricorrente, accertate e riscosse cui l’amministrazione ha formalmente attribuito una specifica destinazione.</w:t>
      </w:r>
    </w:p>
    <w:p w14:paraId="33AB4E89" w14:textId="77777777" w:rsidR="00503E81" w:rsidRPr="001C40FD" w:rsidRDefault="00503E81" w:rsidP="00BB2523">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La quota accantonata del risultato di amministrazione è costituita da:</w:t>
      </w:r>
    </w:p>
    <w:p w14:paraId="4DF09E6F" w14:textId="77777777" w:rsidR="00503E81" w:rsidRPr="001C40FD" w:rsidRDefault="00503E81" w:rsidP="00BB2523">
      <w:pPr>
        <w:pStyle w:val="Normale0"/>
        <w:numPr>
          <w:ilvl w:val="0"/>
          <w:numId w:val="2"/>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l’accantonamento al fondo crediti di dubbia esigibilità (principio 3.3);</w:t>
      </w:r>
    </w:p>
    <w:p w14:paraId="22FAD8CD" w14:textId="77777777" w:rsidR="00503E81" w:rsidRPr="001C40FD" w:rsidRDefault="00503E81" w:rsidP="00BB2523">
      <w:pPr>
        <w:pStyle w:val="Normale0"/>
        <w:numPr>
          <w:ilvl w:val="0"/>
          <w:numId w:val="2"/>
        </w:numPr>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 xml:space="preserve">gli accantonamenti a fronte dei residui passivi perenti (solo per le regioni, fino al loro smaltimento); </w:t>
      </w:r>
    </w:p>
    <w:p w14:paraId="0C5BE719" w14:textId="77777777" w:rsidR="00503E81" w:rsidRPr="001C40FD" w:rsidRDefault="00503E81" w:rsidP="00BB2523">
      <w:pPr>
        <w:pStyle w:val="Normale0"/>
        <w:numPr>
          <w:ilvl w:val="0"/>
          <w:numId w:val="2"/>
        </w:numPr>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rPr>
      </w:pPr>
      <w:r w:rsidRPr="001C40FD">
        <w:rPr>
          <w:rFonts w:ascii="Cambria" w:hAnsi="Cambria" w:cs="Times New Roman"/>
        </w:rPr>
        <w:t>gli accantonamenti per le passività potenziali (fondi spese e rischi).</w:t>
      </w:r>
    </w:p>
    <w:p w14:paraId="3CBD6D85" w14:textId="77777777" w:rsidR="00082BB2" w:rsidRPr="001C40FD" w:rsidRDefault="00082BB2" w:rsidP="00A94C92">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rPr>
      </w:pPr>
    </w:p>
    <w:p w14:paraId="4A1F4D13" w14:textId="77777777" w:rsidR="0075588A" w:rsidRPr="001C40FD" w:rsidRDefault="00A94C92" w:rsidP="00A94C92">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rPr>
      </w:pPr>
      <w:r w:rsidRPr="009B0E78">
        <w:rPr>
          <w:rFonts w:ascii="Cambria" w:hAnsi="Cambria" w:cs="Times New Roman"/>
        </w:rPr>
        <w:t>Si riporta di seguito la tabella dimostrativa del risultato di amminist</w:t>
      </w:r>
      <w:r w:rsidR="009C514A" w:rsidRPr="009B0E78">
        <w:rPr>
          <w:rFonts w:ascii="Cambria" w:hAnsi="Cambria" w:cs="Times New Roman"/>
        </w:rPr>
        <w:t>razione presunto al 31/12/</w:t>
      </w:r>
      <w:r w:rsidR="003E16C9" w:rsidRPr="009B0E78">
        <w:rPr>
          <w:rFonts w:ascii="Cambria" w:hAnsi="Cambria" w:cs="Times New Roman"/>
        </w:rPr>
        <w:t>2020</w:t>
      </w:r>
      <w:r w:rsidR="0066744C" w:rsidRPr="009B0E78">
        <w:rPr>
          <w:rFonts w:ascii="Cambria" w:hAnsi="Cambria" w:cs="Times New Roman"/>
        </w:rPr>
        <w:t>:</w:t>
      </w:r>
    </w:p>
    <w:p w14:paraId="2DDCAFDD" w14:textId="63CB4CAC" w:rsidR="00042FD5" w:rsidRDefault="00042FD5" w:rsidP="00A94C92">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pPr>
    </w:p>
    <w:p w14:paraId="06538296" w14:textId="1FCCBECB" w:rsidR="00466CF4" w:rsidRDefault="00145BFC" w:rsidP="00145BFC">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highlight w:val="magenta"/>
        </w:rPr>
      </w:pPr>
      <w:r w:rsidRPr="00145BFC">
        <w:lastRenderedPageBreak/>
        <w:drawing>
          <wp:inline distT="0" distB="0" distL="0" distR="0" wp14:anchorId="774AA70C" wp14:editId="4F6961EE">
            <wp:extent cx="6332220" cy="3497580"/>
            <wp:effectExtent l="0" t="0" r="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2220" cy="3497580"/>
                    </a:xfrm>
                    <a:prstGeom prst="rect">
                      <a:avLst/>
                    </a:prstGeom>
                    <a:noFill/>
                    <a:ln>
                      <a:noFill/>
                    </a:ln>
                  </pic:spPr>
                </pic:pic>
              </a:graphicData>
            </a:graphic>
          </wp:inline>
        </w:drawing>
      </w:r>
    </w:p>
    <w:p w14:paraId="6F3BCDDA" w14:textId="7922AA74" w:rsidR="00145BFC" w:rsidRPr="000F022F" w:rsidRDefault="00145BFC" w:rsidP="00145BFC">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highlight w:val="magenta"/>
        </w:rPr>
      </w:pPr>
      <w:r w:rsidRPr="001A2A09">
        <w:lastRenderedPageBreak/>
        <w:drawing>
          <wp:inline distT="0" distB="0" distL="0" distR="0" wp14:anchorId="319DF0C0" wp14:editId="05F4D689">
            <wp:extent cx="6332220" cy="62865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2220" cy="6286500"/>
                    </a:xfrm>
                    <a:prstGeom prst="rect">
                      <a:avLst/>
                    </a:prstGeom>
                    <a:noFill/>
                    <a:ln>
                      <a:noFill/>
                    </a:ln>
                  </pic:spPr>
                </pic:pic>
              </a:graphicData>
            </a:graphic>
          </wp:inline>
        </w:drawing>
      </w:r>
    </w:p>
    <w:p w14:paraId="74AD49B2" w14:textId="6F951F62" w:rsidR="004D3941" w:rsidRDefault="004D3941">
      <w:pPr>
        <w:rPr>
          <w:rFonts w:ascii="Arial" w:eastAsia="Times New Roman" w:hAnsi="Arial" w:cs="Arial"/>
          <w:noProof/>
        </w:rPr>
      </w:pPr>
      <w:r>
        <w:br w:type="page"/>
      </w:r>
    </w:p>
    <w:p w14:paraId="46E1DD99" w14:textId="77777777" w:rsidR="009448D1" w:rsidRDefault="009448D1" w:rsidP="009448D1">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pPr>
    </w:p>
    <w:p w14:paraId="36F12E7F" w14:textId="27FEA88E" w:rsidR="009448D1" w:rsidRPr="009B0E78" w:rsidRDefault="009448D1" w:rsidP="009448D1">
      <w:pPr>
        <w:pBdr>
          <w:top w:val="single" w:sz="4" w:space="10" w:color="5B9BD5"/>
          <w:bottom w:val="single" w:sz="4" w:space="10" w:color="5B9BD5"/>
        </w:pBdr>
        <w:spacing w:before="360" w:after="360"/>
        <w:ind w:left="864" w:right="864"/>
        <w:jc w:val="center"/>
        <w:rPr>
          <w:i/>
          <w:iCs/>
          <w:color w:val="5B9BD5"/>
          <w:lang w:eastAsia="x-none"/>
        </w:rPr>
      </w:pPr>
      <w:r>
        <w:rPr>
          <w:i/>
          <w:iCs/>
          <w:color w:val="5B9BD5"/>
          <w:lang w:eastAsia="x-none"/>
        </w:rPr>
        <w:t>DISAVANZO DI AMMINISTRAZIONE</w:t>
      </w:r>
    </w:p>
    <w:p w14:paraId="5D91894A" w14:textId="77777777" w:rsidR="009448D1" w:rsidRPr="009B0E78" w:rsidRDefault="009448D1" w:rsidP="009448D1">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spacing w:line="360" w:lineRule="auto"/>
        <w:jc w:val="both"/>
        <w:rPr>
          <w:rFonts w:eastAsia="Times New Roman"/>
          <w:noProof/>
          <w:sz w:val="22"/>
          <w:szCs w:val="18"/>
        </w:rPr>
      </w:pPr>
    </w:p>
    <w:p w14:paraId="334CBCD7" w14:textId="77777777" w:rsidR="009448D1" w:rsidRPr="006F1852" w:rsidRDefault="009448D1" w:rsidP="009448D1">
      <w:pPr>
        <w:autoSpaceDE w:val="0"/>
        <w:autoSpaceDN w:val="0"/>
        <w:adjustRightInd w:val="0"/>
        <w:spacing w:line="360" w:lineRule="auto"/>
        <w:jc w:val="both"/>
        <w:rPr>
          <w:rFonts w:eastAsia="Times New Roman"/>
          <w:noProof/>
        </w:rPr>
      </w:pPr>
      <w:r w:rsidRPr="006F1852">
        <w:t xml:space="preserve">L’articolo 4, comma 6, del decreto del Ministero dell’economia e delle finanze, di concerto con il Ministero dell’interno, del 2 aprile 2015, concernente i criteri e le modalità di ripiano dell’eventuale maggiore disavanzo al 1° gennaio 2015, prevede che </w:t>
      </w:r>
      <w:r w:rsidRPr="006F1852">
        <w:rPr>
          <w:rFonts w:eastAsia="Times New Roman"/>
          <w:noProof/>
        </w:rPr>
        <w:t xml:space="preserve">la nota integrativa al bilancio di previsione indica le </w:t>
      </w:r>
      <w:r w:rsidRPr="006F1852">
        <w:rPr>
          <w:rFonts w:eastAsia="Times New Roman"/>
          <w:noProof/>
          <w:u w:val="single"/>
        </w:rPr>
        <w:t>modalità di copertura</w:t>
      </w:r>
      <w:r w:rsidRPr="006F1852">
        <w:rPr>
          <w:rFonts w:eastAsia="Times New Roman"/>
          <w:noProof/>
        </w:rPr>
        <w:t xml:space="preserve"> dell’eventuale disavanzo applicato al bilancio </w:t>
      </w:r>
      <w:r w:rsidRPr="006F1852">
        <w:rPr>
          <w:rFonts w:eastAsia="Times New Roman"/>
          <w:noProof/>
          <w:u w:val="single"/>
        </w:rPr>
        <w:t>distintamente</w:t>
      </w:r>
      <w:r w:rsidRPr="006F1852">
        <w:rPr>
          <w:rFonts w:eastAsia="Times New Roman"/>
          <w:noProof/>
        </w:rPr>
        <w:t xml:space="preserve"> per la quota derivante dal riaccertamento straordinario rispetto a quella derivante dalla gestione ordinaria.</w:t>
      </w:r>
    </w:p>
    <w:p w14:paraId="21F55F98" w14:textId="77777777" w:rsidR="009448D1" w:rsidRPr="006F1852" w:rsidRDefault="009448D1" w:rsidP="009448D1">
      <w:pPr>
        <w:autoSpaceDE w:val="0"/>
        <w:autoSpaceDN w:val="0"/>
        <w:adjustRightInd w:val="0"/>
        <w:spacing w:line="360" w:lineRule="auto"/>
        <w:jc w:val="both"/>
        <w:rPr>
          <w:rFonts w:eastAsia="Times New Roman"/>
          <w:noProof/>
        </w:rPr>
      </w:pPr>
      <w:r w:rsidRPr="006F1852">
        <w:rPr>
          <w:rFonts w:eastAsia="Times New Roman"/>
          <w:noProof/>
        </w:rPr>
        <w:t>La nota integrativa indica altresì le modalità di copertura contabile dell’eventuale disavanzo tecnico di all’articolo 3, comma 13, del decreto legislativo n. 118 del 2011.</w:t>
      </w:r>
    </w:p>
    <w:p w14:paraId="5D611BBD" w14:textId="77777777" w:rsidR="009448D1" w:rsidRDefault="009448D1" w:rsidP="009448D1">
      <w:pPr>
        <w:autoSpaceDE w:val="0"/>
        <w:autoSpaceDN w:val="0"/>
        <w:adjustRightInd w:val="0"/>
        <w:spacing w:line="360" w:lineRule="auto"/>
        <w:jc w:val="both"/>
        <w:rPr>
          <w:rFonts w:eastAsia="Times New Roman"/>
          <w:noProof/>
          <w:highlight w:val="yellow"/>
        </w:rPr>
      </w:pPr>
    </w:p>
    <w:p w14:paraId="71721379" w14:textId="77777777" w:rsidR="009448D1" w:rsidRDefault="009448D1" w:rsidP="009448D1">
      <w:pPr>
        <w:autoSpaceDE w:val="0"/>
        <w:autoSpaceDN w:val="0"/>
        <w:adjustRightInd w:val="0"/>
        <w:spacing w:line="360" w:lineRule="auto"/>
        <w:jc w:val="both"/>
        <w:rPr>
          <w:rFonts w:eastAsia="Times New Roman"/>
          <w:noProof/>
          <w:highlight w:val="yellow"/>
        </w:rPr>
      </w:pPr>
      <w:r w:rsidRPr="007C7497">
        <w:rPr>
          <w:rFonts w:eastAsia="Times New Roman"/>
          <w:noProof/>
        </w:rPr>
        <w:t>Il principio contabile 4/1, punto 9.11.7, come modificato dal DM 7.9.2020 (XII° correttivo A</w:t>
      </w:r>
      <w:r>
        <w:rPr>
          <w:rFonts w:eastAsia="Times New Roman"/>
          <w:noProof/>
        </w:rPr>
        <w:t>rconet</w:t>
      </w:r>
      <w:r w:rsidRPr="007C7497">
        <w:rPr>
          <w:rFonts w:eastAsia="Times New Roman"/>
          <w:noProof/>
        </w:rPr>
        <w:t xml:space="preserve">) prevede che gli enti che in sede di approvazione del bilancio presentano un disavanzo di amministrazione presunto descrivono inoltre nella Nota integrativa </w:t>
      </w:r>
      <w:r w:rsidRPr="007C7497">
        <w:rPr>
          <w:rFonts w:eastAsia="Times New Roman"/>
          <w:noProof/>
          <w:u w:val="single"/>
        </w:rPr>
        <w:t>le cause</w:t>
      </w:r>
      <w:r w:rsidRPr="007C7497">
        <w:rPr>
          <w:rFonts w:eastAsia="Times New Roman"/>
          <w:noProof/>
        </w:rPr>
        <w:t xml:space="preserve"> che hanno determinato tale risultato e gli </w:t>
      </w:r>
      <w:r w:rsidRPr="00F5575A">
        <w:rPr>
          <w:rFonts w:eastAsia="Times New Roman"/>
          <w:noProof/>
          <w:u w:val="single"/>
        </w:rPr>
        <w:t>interventi</w:t>
      </w:r>
      <w:r w:rsidRPr="007C7497">
        <w:rPr>
          <w:rFonts w:eastAsia="Times New Roman"/>
          <w:noProof/>
        </w:rPr>
        <w:t xml:space="preserve"> che si intende assumere al riguardo</w:t>
      </w:r>
      <w:r>
        <w:rPr>
          <w:rFonts w:eastAsia="Times New Roman"/>
          <w:noProof/>
        </w:rPr>
        <w:t>.</w:t>
      </w:r>
    </w:p>
    <w:p w14:paraId="406205CA" w14:textId="77777777" w:rsidR="009448D1" w:rsidRDefault="009448D1" w:rsidP="009448D1">
      <w:pPr>
        <w:autoSpaceDE w:val="0"/>
        <w:autoSpaceDN w:val="0"/>
        <w:adjustRightInd w:val="0"/>
        <w:spacing w:line="360" w:lineRule="auto"/>
        <w:jc w:val="both"/>
        <w:rPr>
          <w:rFonts w:eastAsia="Times New Roman"/>
          <w:noProof/>
          <w:highlight w:val="yellow"/>
        </w:rPr>
      </w:pPr>
    </w:p>
    <w:p w14:paraId="0B84E18A" w14:textId="13593790" w:rsidR="009448D1" w:rsidRPr="00F5575A" w:rsidRDefault="009448D1" w:rsidP="009448D1">
      <w:pPr>
        <w:autoSpaceDE w:val="0"/>
        <w:autoSpaceDN w:val="0"/>
        <w:adjustRightInd w:val="0"/>
        <w:spacing w:line="360" w:lineRule="auto"/>
        <w:jc w:val="both"/>
        <w:rPr>
          <w:rFonts w:eastAsia="Times New Roman"/>
          <w:noProof/>
        </w:rPr>
      </w:pPr>
      <w:r>
        <w:rPr>
          <w:rFonts w:eastAsia="Times New Roman"/>
          <w:noProof/>
        </w:rPr>
        <w:t>Gli enti</w:t>
      </w:r>
      <w:r w:rsidRPr="00F5575A">
        <w:rPr>
          <w:rFonts w:eastAsia="Times New Roman"/>
          <w:noProof/>
        </w:rPr>
        <w:t xml:space="preserve"> che erano in </w:t>
      </w:r>
      <w:r w:rsidRPr="00F5575A">
        <w:rPr>
          <w:rFonts w:eastAsia="Times New Roman"/>
          <w:noProof/>
          <w:u w:val="single"/>
        </w:rPr>
        <w:t>disavanzo al 31 dicembre dell’esercizio precedente</w:t>
      </w:r>
      <w:r w:rsidR="004D3941">
        <w:rPr>
          <w:rFonts w:eastAsia="Times New Roman"/>
          <w:noProof/>
        </w:rPr>
        <w:t xml:space="preserve"> (31/12/2019) illustra</w:t>
      </w:r>
      <w:r w:rsidRPr="00F5575A">
        <w:rPr>
          <w:rFonts w:eastAsia="Times New Roman"/>
          <w:noProof/>
        </w:rPr>
        <w:t>no nella Nota Integr</w:t>
      </w:r>
      <w:r>
        <w:rPr>
          <w:rFonts w:eastAsia="Times New Roman"/>
          <w:noProof/>
        </w:rPr>
        <w:t>ativa al bilancio di previsione</w:t>
      </w:r>
      <w:r w:rsidRPr="00F5575A">
        <w:rPr>
          <w:rFonts w:eastAsia="Times New Roman"/>
          <w:noProof/>
        </w:rPr>
        <w:t xml:space="preserve">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03CD25BB" w14:textId="77777777" w:rsidR="009448D1" w:rsidRDefault="009448D1" w:rsidP="009448D1">
      <w:pPr>
        <w:autoSpaceDE w:val="0"/>
        <w:autoSpaceDN w:val="0"/>
        <w:adjustRightInd w:val="0"/>
        <w:spacing w:line="360" w:lineRule="auto"/>
        <w:jc w:val="both"/>
        <w:rPr>
          <w:rFonts w:eastAsia="Times New Roman"/>
          <w:noProof/>
          <w:highlight w:val="yellow"/>
        </w:rPr>
      </w:pPr>
      <w:r w:rsidRPr="00F5575A">
        <w:rPr>
          <w:rFonts w:eastAsia="Times New Roman"/>
          <w:noProof/>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702D2C0E" w14:textId="77777777" w:rsidR="009448D1" w:rsidRDefault="009448D1" w:rsidP="009448D1">
      <w:pPr>
        <w:autoSpaceDE w:val="0"/>
        <w:autoSpaceDN w:val="0"/>
        <w:adjustRightInd w:val="0"/>
        <w:spacing w:line="360" w:lineRule="auto"/>
        <w:jc w:val="both"/>
        <w:rPr>
          <w:rFonts w:eastAsia="Times New Roman"/>
          <w:noProof/>
          <w:highlight w:val="yellow"/>
        </w:rPr>
      </w:pPr>
    </w:p>
    <w:p w14:paraId="10000CF9" w14:textId="77777777" w:rsidR="009448D1" w:rsidRDefault="009448D1" w:rsidP="009448D1">
      <w:pPr>
        <w:autoSpaceDE w:val="0"/>
        <w:autoSpaceDN w:val="0"/>
        <w:adjustRightInd w:val="0"/>
        <w:spacing w:line="360" w:lineRule="auto"/>
        <w:jc w:val="both"/>
        <w:rPr>
          <w:rFonts w:eastAsia="Times New Roman"/>
          <w:noProof/>
        </w:rPr>
      </w:pPr>
      <w:r w:rsidRPr="00F5575A">
        <w:rPr>
          <w:rFonts w:eastAsia="Times New Roman"/>
          <w:noProof/>
        </w:rPr>
        <w:t>Tali indicazioni sono sinteticamente riepilogate nelle seguenti tabelle:</w:t>
      </w:r>
    </w:p>
    <w:p w14:paraId="3AE9B3CA" w14:textId="77777777" w:rsidR="004D3941" w:rsidRDefault="004D3941" w:rsidP="004D3941">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i/>
          <w:noProof w:val="0"/>
          <w:sz w:val="20"/>
          <w:szCs w:val="20"/>
        </w:rPr>
      </w:pPr>
    </w:p>
    <w:bookmarkStart w:id="1" w:name="_MON_1670182310"/>
    <w:bookmarkEnd w:id="1"/>
    <w:p w14:paraId="32A31D28" w14:textId="7A11F177" w:rsidR="004D3941" w:rsidRDefault="00CE53C8" w:rsidP="004D3941">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pPr>
      <w:r>
        <w:object w:dxaOrig="14161" w:dyaOrig="15996" w14:anchorId="581F11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654pt" o:ole="">
            <v:imagedata r:id="rId16" o:title=""/>
          </v:shape>
          <o:OLEObject Type="Embed" ProgID="Excel.Sheet.8" ShapeID="_x0000_i1025" DrawAspect="Content" ObjectID="_1674387006" r:id="rId17"/>
        </w:object>
      </w:r>
      <w:r w:rsidR="004D3941" w:rsidRPr="00BF645A">
        <w:rPr>
          <w:rFonts w:ascii="Cambria" w:hAnsi="Cambria" w:cs="Times New Roman"/>
        </w:rPr>
        <w:t>Si illustra inoltre quanto segue:</w:t>
      </w:r>
    </w:p>
    <w:p w14:paraId="640B364C" w14:textId="77777777" w:rsidR="00CE53C8" w:rsidRDefault="00CE53C8" w:rsidP="004D3941">
      <w:pPr>
        <w:autoSpaceDE w:val="0"/>
        <w:autoSpaceDN w:val="0"/>
        <w:adjustRightInd w:val="0"/>
        <w:spacing w:line="360" w:lineRule="auto"/>
        <w:jc w:val="both"/>
        <w:rPr>
          <w:rFonts w:eastAsia="Times New Roman"/>
          <w:noProof/>
          <w:highlight w:val="yellow"/>
        </w:rPr>
      </w:pPr>
    </w:p>
    <w:p w14:paraId="6FC25F03" w14:textId="30C4D285" w:rsidR="00CE53C8" w:rsidRPr="001E695E" w:rsidRDefault="00CE53C8" w:rsidP="00CE53C8">
      <w:pPr>
        <w:spacing w:line="360" w:lineRule="auto"/>
        <w:jc w:val="both"/>
        <w:rPr>
          <w:rFonts w:eastAsia="Times New Roman"/>
          <w:noProof/>
        </w:rPr>
      </w:pPr>
      <w:r>
        <w:rPr>
          <w:rFonts w:eastAsia="Times New Roman"/>
          <w:noProof/>
        </w:rPr>
        <w:t>In sede di rendiconto 2019</w:t>
      </w:r>
      <w:r w:rsidRPr="001E695E">
        <w:rPr>
          <w:rFonts w:eastAsia="Times New Roman"/>
          <w:noProof/>
        </w:rPr>
        <w:t xml:space="preserve">, l’Ente ha accertato un disavanzo di amministrazione di € </w:t>
      </w:r>
      <w:r>
        <w:rPr>
          <w:rFonts w:eastAsia="Times New Roman"/>
          <w:noProof/>
        </w:rPr>
        <w:t>49.694,15</w:t>
      </w:r>
      <w:r w:rsidRPr="001E695E">
        <w:rPr>
          <w:rFonts w:eastAsia="Times New Roman"/>
          <w:noProof/>
        </w:rPr>
        <w:t xml:space="preserve">, individuando le cause del disavanzo medesimo nella </w:t>
      </w:r>
      <w:r w:rsidRPr="00F83940">
        <w:rPr>
          <w:rFonts w:eastAsia="Times New Roman"/>
          <w:noProof/>
        </w:rPr>
        <w:t xml:space="preserve">progressiva riduzione dei contributi statali a cui non è stato possibile far fronte con la leva tributaria, stante il blocco degli aumenti dei tributi e delle addizionali </w:t>
      </w:r>
      <w:r w:rsidRPr="001E695E">
        <w:rPr>
          <w:rFonts w:eastAsia="Times New Roman"/>
          <w:noProof/>
        </w:rPr>
        <w:t>vigente</w:t>
      </w:r>
      <w:r w:rsidRPr="00F83940">
        <w:rPr>
          <w:rFonts w:eastAsia="Times New Roman"/>
          <w:noProof/>
        </w:rPr>
        <w:t xml:space="preserve"> sino al 31.12.2018, </w:t>
      </w:r>
      <w:r w:rsidRPr="001E695E">
        <w:rPr>
          <w:rFonts w:eastAsia="Times New Roman"/>
          <w:noProof/>
        </w:rPr>
        <w:t xml:space="preserve">nonché </w:t>
      </w:r>
      <w:r w:rsidRPr="00F83940">
        <w:rPr>
          <w:rFonts w:eastAsia="Times New Roman"/>
          <w:noProof/>
        </w:rPr>
        <w:t>all’eliminazione di residui attivi di parte corrente</w:t>
      </w:r>
      <w:r w:rsidRPr="001E695E">
        <w:rPr>
          <w:rFonts w:eastAsia="Times New Roman"/>
          <w:noProof/>
        </w:rPr>
        <w:t>.</w:t>
      </w:r>
    </w:p>
    <w:p w14:paraId="1D2EEF4F" w14:textId="77777777" w:rsidR="00CE53C8" w:rsidRDefault="00CE53C8" w:rsidP="004D3941">
      <w:pPr>
        <w:autoSpaceDE w:val="0"/>
        <w:autoSpaceDN w:val="0"/>
        <w:adjustRightInd w:val="0"/>
        <w:spacing w:line="360" w:lineRule="auto"/>
        <w:jc w:val="both"/>
        <w:rPr>
          <w:rFonts w:eastAsia="Times New Roman"/>
          <w:noProof/>
          <w:highlight w:val="yellow"/>
        </w:rPr>
      </w:pPr>
    </w:p>
    <w:p w14:paraId="457CB9D0" w14:textId="631C9608" w:rsidR="00CE53C8" w:rsidRPr="001E695E" w:rsidRDefault="00CE53C8" w:rsidP="00CE53C8">
      <w:pPr>
        <w:autoSpaceDE w:val="0"/>
        <w:autoSpaceDN w:val="0"/>
        <w:adjustRightInd w:val="0"/>
        <w:spacing w:line="360" w:lineRule="auto"/>
        <w:jc w:val="both"/>
        <w:rPr>
          <w:rFonts w:eastAsia="Times New Roman"/>
          <w:noProof/>
        </w:rPr>
      </w:pPr>
      <w:r w:rsidRPr="001E695E">
        <w:rPr>
          <w:rFonts w:eastAsia="Times New Roman"/>
          <w:noProof/>
        </w:rPr>
        <w:t xml:space="preserve">Tale disavanzo è stato </w:t>
      </w:r>
      <w:r>
        <w:rPr>
          <w:rFonts w:eastAsia="Times New Roman"/>
          <w:noProof/>
        </w:rPr>
        <w:t>applicato al bilancio 2020/2022</w:t>
      </w:r>
      <w:r w:rsidRPr="001E695E">
        <w:rPr>
          <w:rFonts w:eastAsia="Times New Roman"/>
          <w:noProof/>
        </w:rPr>
        <w:t xml:space="preserve"> con deliberazione Consiliare n. </w:t>
      </w:r>
      <w:r>
        <w:rPr>
          <w:rFonts w:eastAsia="Times New Roman"/>
          <w:noProof/>
        </w:rPr>
        <w:t>14</w:t>
      </w:r>
      <w:r w:rsidRPr="001E695E">
        <w:rPr>
          <w:rFonts w:eastAsia="Times New Roman"/>
          <w:noProof/>
        </w:rPr>
        <w:t xml:space="preserve"> del </w:t>
      </w:r>
      <w:r>
        <w:rPr>
          <w:rFonts w:eastAsia="Times New Roman"/>
          <w:noProof/>
        </w:rPr>
        <w:t>01.07.2020</w:t>
      </w:r>
      <w:r w:rsidRPr="001E695E">
        <w:rPr>
          <w:rFonts w:eastAsia="Times New Roman"/>
          <w:noProof/>
        </w:rPr>
        <w:t xml:space="preserve"> in ossequio al seguente piano di recupero:</w:t>
      </w:r>
    </w:p>
    <w:p w14:paraId="5CF14557" w14:textId="2313EFB9" w:rsidR="00CE53C8" w:rsidRPr="00CA1B4D" w:rsidRDefault="00CE53C8" w:rsidP="00CA1B4D">
      <w:pPr>
        <w:autoSpaceDE w:val="0"/>
        <w:autoSpaceDN w:val="0"/>
        <w:adjustRightInd w:val="0"/>
        <w:spacing w:line="360" w:lineRule="auto"/>
        <w:jc w:val="both"/>
      </w:pPr>
      <w:r w:rsidRPr="00CA1B4D">
        <w:sym w:font="Symbol" w:char="F0D8"/>
      </w:r>
      <w:r w:rsidRPr="00CA1B4D">
        <w:t xml:space="preserve"> </w:t>
      </w:r>
      <w:proofErr w:type="gramStart"/>
      <w:r w:rsidRPr="00CA1B4D">
        <w:t>anno</w:t>
      </w:r>
      <w:proofErr w:type="gramEnd"/>
      <w:r w:rsidRPr="00CA1B4D">
        <w:t xml:space="preserve"> 2020: ripiano di € </w:t>
      </w:r>
      <w:r w:rsidRPr="00CA1B4D">
        <w:rPr>
          <w:rFonts w:eastAsia="Times New Roman"/>
          <w:noProof/>
        </w:rPr>
        <w:t>29.952,22</w:t>
      </w:r>
      <w:r w:rsidRPr="00CA1B4D">
        <w:t xml:space="preserve"> da finanziare </w:t>
      </w:r>
      <w:r w:rsidRPr="00CA1B4D">
        <w:rPr>
          <w:rFonts w:eastAsia="Times New Roman"/>
          <w:noProof/>
        </w:rPr>
        <w:t xml:space="preserve">per € </w:t>
      </w:r>
      <w:r w:rsidR="00CA1B4D" w:rsidRPr="00CA1B4D">
        <w:rPr>
          <w:rFonts w:eastAsia="Times New Roman"/>
          <w:noProof/>
        </w:rPr>
        <w:t>6.015,62 mediante i risparmi relativi all’intervenuta rinegoziazione dei mutui in essere con CDP Spa, giusta deliberazione della Giunta Comunale n° 29 in data 27.05.2020</w:t>
      </w:r>
      <w:r w:rsidR="00CA1B4D" w:rsidRPr="00CA1B4D">
        <w:t xml:space="preserve"> e per euro 23.936,60, con i risparmi conseguibili mediante all’adesione alla proposta avanzata da </w:t>
      </w:r>
      <w:proofErr w:type="spellStart"/>
      <w:r w:rsidR="00CA1B4D" w:rsidRPr="00CA1B4D">
        <w:t>Finpiemonte</w:t>
      </w:r>
      <w:proofErr w:type="spellEnd"/>
      <w:r w:rsidR="00CA1B4D" w:rsidRPr="00CA1B4D">
        <w:t xml:space="preserve"> relativa alla moratoria del debito relativo al bando LR 28/99 valorizzazione luoghi commercio</w:t>
      </w:r>
    </w:p>
    <w:p w14:paraId="2EFE0036" w14:textId="1714DE77" w:rsidR="00CE53C8" w:rsidRPr="0029757D" w:rsidRDefault="00CE53C8" w:rsidP="00CE53C8">
      <w:pPr>
        <w:autoSpaceDE w:val="0"/>
        <w:autoSpaceDN w:val="0"/>
        <w:adjustRightInd w:val="0"/>
        <w:spacing w:line="360" w:lineRule="auto"/>
        <w:jc w:val="both"/>
      </w:pPr>
      <w:r w:rsidRPr="00CA1B4D">
        <w:t xml:space="preserve"> </w:t>
      </w:r>
      <w:r w:rsidRPr="00CA1B4D">
        <w:sym w:font="Symbol" w:char="F0D8"/>
      </w:r>
      <w:r w:rsidRPr="00CA1B4D">
        <w:t xml:space="preserve"> </w:t>
      </w:r>
      <w:proofErr w:type="gramStart"/>
      <w:r w:rsidRPr="00CA1B4D">
        <w:t>anno</w:t>
      </w:r>
      <w:proofErr w:type="gramEnd"/>
      <w:r w:rsidRPr="00CA1B4D">
        <w:t xml:space="preserve"> 2021: ripiano di € </w:t>
      </w:r>
      <w:r w:rsidR="00CA1B4D" w:rsidRPr="00CA1B4D">
        <w:rPr>
          <w:rFonts w:eastAsia="Times New Roman"/>
          <w:noProof/>
        </w:rPr>
        <w:t>19.741,93</w:t>
      </w:r>
      <w:r w:rsidRPr="00CA1B4D">
        <w:t xml:space="preserve"> da finanziare </w:t>
      </w:r>
      <w:r w:rsidRPr="00CA1B4D">
        <w:rPr>
          <w:rFonts w:eastAsia="Times New Roman"/>
          <w:noProof/>
        </w:rPr>
        <w:t xml:space="preserve">per € </w:t>
      </w:r>
      <w:r w:rsidR="00CA1B4D" w:rsidRPr="00CA1B4D">
        <w:rPr>
          <w:rFonts w:eastAsia="Times New Roman"/>
          <w:noProof/>
        </w:rPr>
        <w:t>5.846,18 mediante i risparmi relativi all’intervenuta rinegoziazione dei mutui in essere con CDP Spa, giusta deliberazione della Giunta Comunale n° 29 in data 27.05.2020, e per euro 13.895,75 mediante riduzione della spesa corrente.</w:t>
      </w:r>
    </w:p>
    <w:p w14:paraId="2C9F712F" w14:textId="77777777" w:rsidR="00CE53C8" w:rsidRDefault="00CE53C8" w:rsidP="004D3941">
      <w:pPr>
        <w:autoSpaceDE w:val="0"/>
        <w:autoSpaceDN w:val="0"/>
        <w:adjustRightInd w:val="0"/>
        <w:spacing w:line="360" w:lineRule="auto"/>
        <w:jc w:val="both"/>
        <w:rPr>
          <w:rFonts w:eastAsia="Times New Roman"/>
          <w:noProof/>
          <w:highlight w:val="yellow"/>
        </w:rPr>
      </w:pPr>
    </w:p>
    <w:p w14:paraId="27BC6AC5" w14:textId="37E58493" w:rsidR="005E769A" w:rsidRPr="002A08CB" w:rsidRDefault="005E769A" w:rsidP="005E769A">
      <w:pPr>
        <w:autoSpaceDE w:val="0"/>
        <w:autoSpaceDN w:val="0"/>
        <w:adjustRightInd w:val="0"/>
        <w:spacing w:line="360" w:lineRule="auto"/>
        <w:jc w:val="both"/>
        <w:rPr>
          <w:rFonts w:eastAsia="Times New Roman"/>
          <w:noProof/>
        </w:rPr>
      </w:pPr>
      <w:r w:rsidRPr="002A08CB">
        <w:rPr>
          <w:rFonts w:eastAsia="Times New Roman"/>
          <w:noProof/>
        </w:rPr>
        <w:t xml:space="preserve">Nel corso dell’esercizio 2020 l’Ente ha perfezionato la rinegoziazione </w:t>
      </w:r>
      <w:r>
        <w:rPr>
          <w:rFonts w:eastAsia="Times New Roman"/>
          <w:noProof/>
        </w:rPr>
        <w:t>dei mutui in essere con CDP SpA nonché l’accordo per la moratoria del debito nei confronti di Finpiemonte.</w:t>
      </w:r>
    </w:p>
    <w:p w14:paraId="2FF366D3" w14:textId="77777777" w:rsidR="005E769A" w:rsidRDefault="005E769A" w:rsidP="004D3941">
      <w:pPr>
        <w:autoSpaceDE w:val="0"/>
        <w:autoSpaceDN w:val="0"/>
        <w:adjustRightInd w:val="0"/>
        <w:spacing w:line="360" w:lineRule="auto"/>
        <w:jc w:val="both"/>
        <w:rPr>
          <w:rFonts w:eastAsia="Times New Roman"/>
          <w:noProof/>
          <w:highlight w:val="yellow"/>
        </w:rPr>
      </w:pPr>
    </w:p>
    <w:p w14:paraId="67A9DE35" w14:textId="77777777" w:rsidR="005E769A" w:rsidRDefault="005E769A" w:rsidP="005E769A">
      <w:pPr>
        <w:spacing w:line="360" w:lineRule="auto"/>
        <w:jc w:val="both"/>
        <w:rPr>
          <w:rFonts w:eastAsia="Times New Roman"/>
          <w:noProof/>
        </w:rPr>
      </w:pPr>
      <w:r>
        <w:rPr>
          <w:rFonts w:eastAsia="Times New Roman"/>
          <w:noProof/>
        </w:rPr>
        <w:t xml:space="preserve">L’importo del disavanzo presunto al 31.12.2020 è interamente relativo alla quota di avanzo di amministrazione emerso al 31.12.2019 e ancora da recuperare. </w:t>
      </w:r>
    </w:p>
    <w:p w14:paraId="1144A62F" w14:textId="7A298A09" w:rsidR="005E769A" w:rsidRDefault="005E769A" w:rsidP="005E769A">
      <w:pPr>
        <w:spacing w:line="360" w:lineRule="auto"/>
        <w:jc w:val="both"/>
        <w:rPr>
          <w:rFonts w:eastAsia="Times New Roman"/>
          <w:noProof/>
        </w:rPr>
      </w:pPr>
      <w:r>
        <w:rPr>
          <w:rFonts w:eastAsia="Times New Roman"/>
          <w:noProof/>
        </w:rPr>
        <w:t>Nel corso dell’esercizio 2020, tuttavia, l’Ente ha migliorato la situazione del disavanzo, recuperando interamente la quota prevista per l’esercizio 2020: d</w:t>
      </w:r>
      <w:r w:rsidRPr="00AA3CB7">
        <w:rPr>
          <w:rFonts w:eastAsia="Times New Roman"/>
          <w:noProof/>
        </w:rPr>
        <w:t xml:space="preserve">alla proiezione del risultato di avanzo presunto dell’anno 2020 l’Ente auspica </w:t>
      </w:r>
      <w:r>
        <w:rPr>
          <w:rFonts w:eastAsia="Times New Roman"/>
          <w:noProof/>
        </w:rPr>
        <w:t xml:space="preserve">infatti </w:t>
      </w:r>
      <w:r w:rsidRPr="00AA3CB7">
        <w:rPr>
          <w:rFonts w:eastAsia="Times New Roman"/>
          <w:noProof/>
        </w:rPr>
        <w:t>di assorbire una quota di disavanzo maggiore rispetto a quella programmata: nella previsione di bilancio 2021/2023</w:t>
      </w:r>
      <w:r>
        <w:rPr>
          <w:rFonts w:eastAsia="Times New Roman"/>
          <w:noProof/>
        </w:rPr>
        <w:t>.</w:t>
      </w:r>
      <w:r w:rsidRPr="00AA3CB7">
        <w:rPr>
          <w:rFonts w:eastAsia="Times New Roman"/>
          <w:noProof/>
        </w:rPr>
        <w:t xml:space="preserve"> </w:t>
      </w:r>
    </w:p>
    <w:p w14:paraId="690431B8" w14:textId="484BB207" w:rsidR="005E769A" w:rsidRPr="00AA3CB7" w:rsidRDefault="005E769A" w:rsidP="005E769A">
      <w:pPr>
        <w:spacing w:line="360" w:lineRule="auto"/>
        <w:jc w:val="both"/>
        <w:rPr>
          <w:rFonts w:ascii="Calibri" w:eastAsia="Times New Roman" w:hAnsi="Calibri"/>
          <w:color w:val="000000"/>
          <w:sz w:val="22"/>
          <w:szCs w:val="22"/>
        </w:rPr>
      </w:pPr>
      <w:r>
        <w:rPr>
          <w:rFonts w:eastAsia="Times New Roman"/>
          <w:noProof/>
        </w:rPr>
        <w:t xml:space="preserve">Nella predisposizione del bilancio </w:t>
      </w:r>
      <w:r w:rsidRPr="00AA3CB7">
        <w:rPr>
          <w:rFonts w:eastAsia="Times New Roman"/>
          <w:noProof/>
        </w:rPr>
        <w:t xml:space="preserve">l’Ente ha tuttavia prudenzialmente inserito </w:t>
      </w:r>
      <w:r>
        <w:rPr>
          <w:rFonts w:eastAsia="Times New Roman"/>
          <w:noProof/>
        </w:rPr>
        <w:t xml:space="preserve">fra le previsioni di spesa </w:t>
      </w:r>
      <w:r w:rsidRPr="00AA3CB7">
        <w:rPr>
          <w:rFonts w:eastAsia="Times New Roman"/>
          <w:noProof/>
        </w:rPr>
        <w:t xml:space="preserve">l’importo di disavanzo da ripianare previsto dal piano di recupero sopra illustrato </w:t>
      </w:r>
      <w:r>
        <w:rPr>
          <w:rFonts w:eastAsia="Times New Roman"/>
          <w:noProof/>
        </w:rPr>
        <w:t xml:space="preserve">per </w:t>
      </w:r>
      <w:r>
        <w:rPr>
          <w:rFonts w:eastAsia="Times New Roman"/>
          <w:noProof/>
        </w:rPr>
        <w:lastRenderedPageBreak/>
        <w:t xml:space="preserve">l’annualità 2021 </w:t>
      </w:r>
      <w:r w:rsidRPr="00AA3CB7">
        <w:rPr>
          <w:rFonts w:eastAsia="Times New Roman"/>
          <w:noProof/>
        </w:rPr>
        <w:t xml:space="preserve">(euro </w:t>
      </w:r>
      <w:r w:rsidR="00347C70" w:rsidRPr="00347C70">
        <w:rPr>
          <w:rFonts w:ascii="Calibri" w:eastAsia="Times New Roman" w:hAnsi="Calibri"/>
          <w:color w:val="000000"/>
          <w:sz w:val="22"/>
          <w:szCs w:val="22"/>
        </w:rPr>
        <w:t>19.741,93</w:t>
      </w:r>
      <w:r w:rsidRPr="00AA3CB7">
        <w:rPr>
          <w:rFonts w:eastAsia="Times New Roman"/>
          <w:noProof/>
        </w:rPr>
        <w:t>) e si riserva di valutare l’eventuale rideterminazione dell’importo medesimo soltanto successivamente all’approvazione del rendiconto 2020.</w:t>
      </w:r>
    </w:p>
    <w:p w14:paraId="7280AF38" w14:textId="77777777" w:rsidR="009B0E78" w:rsidRPr="009B0E78" w:rsidRDefault="009B0E78" w:rsidP="009B0E78">
      <w:pPr>
        <w:widowControl w:val="0"/>
        <w:tabs>
          <w:tab w:val="left" w:pos="708"/>
          <w:tab w:val="left" w:pos="1134"/>
          <w:tab w:val="left" w:pos="1416"/>
          <w:tab w:val="left" w:pos="2124"/>
          <w:tab w:val="left" w:pos="2268"/>
          <w:tab w:val="left" w:pos="2832"/>
          <w:tab w:val="left" w:pos="3402"/>
          <w:tab w:val="left" w:pos="3540"/>
          <w:tab w:val="left" w:pos="4248"/>
          <w:tab w:val="left" w:pos="4536"/>
          <w:tab w:val="left" w:pos="4956"/>
          <w:tab w:val="left" w:pos="5670"/>
          <w:tab w:val="left" w:pos="6372"/>
          <w:tab w:val="left" w:pos="6804"/>
          <w:tab w:val="left" w:pos="7080"/>
          <w:tab w:val="left" w:pos="7788"/>
          <w:tab w:val="left" w:pos="7938"/>
          <w:tab w:val="left" w:pos="8496"/>
          <w:tab w:val="left" w:pos="9072"/>
          <w:tab w:val="left" w:pos="9204"/>
          <w:tab w:val="left" w:pos="9912"/>
          <w:tab w:val="left" w:pos="10206"/>
          <w:tab w:val="left" w:pos="11340"/>
          <w:tab w:val="left" w:pos="12474"/>
          <w:tab w:val="left" w:pos="13608"/>
          <w:tab w:val="left" w:pos="14742"/>
          <w:tab w:val="left" w:pos="15876"/>
        </w:tabs>
        <w:autoSpaceDE w:val="0"/>
        <w:autoSpaceDN w:val="0"/>
        <w:adjustRightInd w:val="0"/>
        <w:spacing w:line="360" w:lineRule="auto"/>
        <w:jc w:val="both"/>
        <w:rPr>
          <w:rFonts w:eastAsia="Times New Roman"/>
          <w:noProof/>
          <w:sz w:val="22"/>
          <w:szCs w:val="18"/>
        </w:rPr>
      </w:pPr>
    </w:p>
    <w:p w14:paraId="4DCEEB68" w14:textId="77777777" w:rsidR="009B0E78" w:rsidRPr="009B0E78" w:rsidRDefault="009B0E78" w:rsidP="009B0E78">
      <w:pPr>
        <w:pBdr>
          <w:top w:val="single" w:sz="4" w:space="10" w:color="5B9BD5"/>
          <w:bottom w:val="single" w:sz="4" w:space="10" w:color="5B9BD5"/>
        </w:pBdr>
        <w:spacing w:before="360" w:after="360"/>
        <w:ind w:left="864" w:right="864"/>
        <w:jc w:val="center"/>
        <w:rPr>
          <w:i/>
          <w:iCs/>
          <w:color w:val="5B9BD5"/>
          <w:lang w:eastAsia="x-none"/>
        </w:rPr>
      </w:pPr>
      <w:r w:rsidRPr="009B0E78">
        <w:rPr>
          <w:i/>
          <w:iCs/>
          <w:color w:val="5B9BD5"/>
          <w:lang w:eastAsia="x-none"/>
        </w:rPr>
        <w:t>UTILIZZO DELL’AVANZO DI AMMINISTRAZIONE</w:t>
      </w:r>
    </w:p>
    <w:p w14:paraId="128CC866" w14:textId="77777777" w:rsidR="0050312C" w:rsidRDefault="0050312C" w:rsidP="009B0E78">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spacing w:line="360" w:lineRule="auto"/>
        <w:jc w:val="both"/>
        <w:rPr>
          <w:rFonts w:eastAsia="Times New Roman"/>
          <w:noProof/>
        </w:rPr>
      </w:pPr>
    </w:p>
    <w:p w14:paraId="66D4724A" w14:textId="4742188D" w:rsidR="009B0E78" w:rsidRPr="00A45E6A" w:rsidRDefault="009B0E78" w:rsidP="00CC65D9">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spacing w:line="360" w:lineRule="auto"/>
        <w:jc w:val="both"/>
        <w:rPr>
          <w:rFonts w:eastAsia="Times New Roman"/>
          <w:noProof/>
        </w:rPr>
      </w:pPr>
      <w:r w:rsidRPr="00A45E6A">
        <w:rPr>
          <w:rFonts w:eastAsia="Times New Roman"/>
          <w:noProof/>
        </w:rPr>
        <w:t>Al bilancio di pre</w:t>
      </w:r>
      <w:r w:rsidR="00CC65D9" w:rsidRPr="00A45E6A">
        <w:rPr>
          <w:rFonts w:eastAsia="Times New Roman"/>
          <w:noProof/>
        </w:rPr>
        <w:t xml:space="preserve">visione 2021/2023 sono applicati euro </w:t>
      </w:r>
      <w:r w:rsidR="00A45E6A" w:rsidRPr="00A45E6A">
        <w:rPr>
          <w:rFonts w:eastAsia="Times New Roman"/>
          <w:noProof/>
        </w:rPr>
        <w:t>229.174,83</w:t>
      </w:r>
      <w:r w:rsidRPr="00A45E6A">
        <w:rPr>
          <w:rFonts w:eastAsia="Times New Roman"/>
          <w:noProof/>
        </w:rPr>
        <w:t xml:space="preserve"> </w:t>
      </w:r>
      <w:r w:rsidR="00CC65D9" w:rsidRPr="00A45E6A">
        <w:rPr>
          <w:rFonts w:eastAsia="Times New Roman"/>
          <w:noProof/>
        </w:rPr>
        <w:t>relativi a quota</w:t>
      </w:r>
      <w:r w:rsidRPr="00A45E6A">
        <w:rPr>
          <w:rFonts w:eastAsia="Times New Roman"/>
          <w:noProof/>
        </w:rPr>
        <w:t xml:space="preserve"> </w:t>
      </w:r>
      <w:r w:rsidR="00CC65D9" w:rsidRPr="00A45E6A">
        <w:rPr>
          <w:rFonts w:eastAsia="Times New Roman"/>
          <w:noProof/>
        </w:rPr>
        <w:t xml:space="preserve">accantonata </w:t>
      </w:r>
      <w:r w:rsidRPr="00A45E6A">
        <w:rPr>
          <w:rFonts w:eastAsia="Times New Roman"/>
          <w:noProof/>
        </w:rPr>
        <w:t xml:space="preserve">di avanzo di amministrazione presunto </w:t>
      </w:r>
      <w:r w:rsidR="00CC65D9" w:rsidRPr="00A45E6A">
        <w:rPr>
          <w:rFonts w:eastAsia="Times New Roman"/>
          <w:noProof/>
        </w:rPr>
        <w:t>di cui</w:t>
      </w:r>
      <w:r w:rsidR="001810D7" w:rsidRPr="00A45E6A">
        <w:rPr>
          <w:rFonts w:eastAsia="Times New Roman"/>
          <w:noProof/>
        </w:rPr>
        <w:t xml:space="preserve"> all’allegato A1 al bilancio di previsione</w:t>
      </w:r>
      <w:r w:rsidR="00CC65D9" w:rsidRPr="00A45E6A">
        <w:rPr>
          <w:rFonts w:eastAsia="Times New Roman"/>
          <w:noProof/>
        </w:rPr>
        <w:t>.</w:t>
      </w:r>
    </w:p>
    <w:p w14:paraId="67AF03BE" w14:textId="148829E8" w:rsidR="00CC65D9" w:rsidRPr="00A45E6A" w:rsidRDefault="00CC65D9" w:rsidP="00CC65D9">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spacing w:line="360" w:lineRule="auto"/>
        <w:jc w:val="both"/>
        <w:rPr>
          <w:rFonts w:eastAsia="Times New Roman"/>
          <w:noProof/>
        </w:rPr>
      </w:pPr>
      <w:r w:rsidRPr="00A45E6A">
        <w:rPr>
          <w:rFonts w:eastAsia="Times New Roman"/>
          <w:noProof/>
        </w:rPr>
        <w:t>Trattasi nello specifico dell’importo d</w:t>
      </w:r>
      <w:r w:rsidR="00A45E6A" w:rsidRPr="00A45E6A">
        <w:rPr>
          <w:rFonts w:eastAsia="Times New Roman"/>
          <w:noProof/>
        </w:rPr>
        <w:t>i</w:t>
      </w:r>
      <w:r w:rsidRPr="00A45E6A">
        <w:rPr>
          <w:rFonts w:eastAsia="Times New Roman"/>
          <w:noProof/>
        </w:rPr>
        <w:t xml:space="preserve"> anticipazione di liquidità </w:t>
      </w:r>
      <w:r w:rsidR="00A45E6A" w:rsidRPr="00A45E6A">
        <w:rPr>
          <w:rFonts w:eastAsia="Times New Roman"/>
          <w:noProof/>
        </w:rPr>
        <w:t>ricevuta dall’Ente nel corso dell’esercizio 2020, che andrà restituito a Cassa Depositi e Prestiti secondo il relativo piano di ammortamento.</w:t>
      </w:r>
    </w:p>
    <w:p w14:paraId="7758E54E" w14:textId="77777777" w:rsidR="00CC65D9" w:rsidRPr="00A45E6A" w:rsidRDefault="00CC65D9" w:rsidP="00CC65D9">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spacing w:line="360" w:lineRule="auto"/>
        <w:jc w:val="both"/>
        <w:rPr>
          <w:rFonts w:eastAsia="Times New Roman"/>
          <w:noProof/>
        </w:rPr>
      </w:pPr>
    </w:p>
    <w:p w14:paraId="2641A3CD" w14:textId="44870168" w:rsidR="00CC65D9" w:rsidRPr="00A45E6A" w:rsidRDefault="00CC65D9" w:rsidP="001810D7">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spacing w:line="360" w:lineRule="auto"/>
        <w:jc w:val="both"/>
        <w:rPr>
          <w:rFonts w:eastAsia="Times New Roman"/>
          <w:noProof/>
        </w:rPr>
      </w:pPr>
      <w:r w:rsidRPr="00A45E6A">
        <w:rPr>
          <w:rFonts w:eastAsia="Times New Roman"/>
          <w:noProof/>
        </w:rPr>
        <w:t xml:space="preserve">Non sono </w:t>
      </w:r>
      <w:r w:rsidR="00A45E6A" w:rsidRPr="00A45E6A">
        <w:rPr>
          <w:rFonts w:eastAsia="Times New Roman"/>
          <w:noProof/>
        </w:rPr>
        <w:t xml:space="preserve">state </w:t>
      </w:r>
      <w:r w:rsidRPr="00A45E6A">
        <w:rPr>
          <w:rFonts w:eastAsia="Times New Roman"/>
          <w:noProof/>
        </w:rPr>
        <w:t>invece applicate al bilancio di previsione quote vincolate di avanzo di amministrazione presunto.</w:t>
      </w:r>
    </w:p>
    <w:p w14:paraId="2E56CBC8" w14:textId="77777777" w:rsidR="001810D7" w:rsidRPr="00A45E6A" w:rsidRDefault="001810D7" w:rsidP="001810D7">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spacing w:line="360" w:lineRule="auto"/>
        <w:jc w:val="both"/>
        <w:rPr>
          <w:rFonts w:eastAsia="Times New Roman"/>
          <w:noProof/>
          <w:sz w:val="22"/>
          <w:szCs w:val="18"/>
        </w:rPr>
      </w:pPr>
    </w:p>
    <w:p w14:paraId="4CA84176" w14:textId="77777777" w:rsidR="00677DCA" w:rsidRPr="004957B1" w:rsidRDefault="00677DCA" w:rsidP="00BD4DA2">
      <w:pPr>
        <w:pStyle w:val="Sfondochiaro-Colore21"/>
        <w:outlineLvl w:val="0"/>
      </w:pPr>
      <w:r w:rsidRPr="004957B1">
        <w:t>INTERVENTI PROGRAMMATI PER SPESE DI INVESTIMENTO</w:t>
      </w:r>
    </w:p>
    <w:p w14:paraId="6DE43C1B" w14:textId="77777777" w:rsidR="0066744C" w:rsidRPr="001C40FD" w:rsidRDefault="00B96387" w:rsidP="00E62537">
      <w:pPr>
        <w:spacing w:line="360" w:lineRule="auto"/>
        <w:jc w:val="both"/>
        <w:rPr>
          <w:rFonts w:eastAsia="Times New Roman"/>
          <w:noProof/>
        </w:rPr>
      </w:pPr>
      <w:r w:rsidRPr="001C40FD">
        <w:rPr>
          <w:rFonts w:eastAsia="Times New Roman"/>
          <w:noProof/>
        </w:rPr>
        <w:t>Per quanto riguarda il versante degli impieghi, le uscite di parte capitale comprendono la realizzazione, l'acquisto e la manutenzione straordinaria di opere di urbanizzazione primaria e secondaria, di immobili, di mobili strumentali e ogni altro intervento di investimento gestito dall'ente, compreso il conferimento di incarichi professionali che producono l'acquisizione di prestazioni intellettuali o d'opera di uso durevole.</w:t>
      </w:r>
    </w:p>
    <w:p w14:paraId="67E2DBC1" w14:textId="77777777" w:rsidR="001614BE" w:rsidRPr="001C40FD" w:rsidRDefault="00B96387" w:rsidP="00E62537">
      <w:pPr>
        <w:spacing w:line="360" w:lineRule="auto"/>
        <w:jc w:val="both"/>
        <w:rPr>
          <w:rFonts w:eastAsia="Times New Roman"/>
          <w:noProof/>
        </w:rPr>
      </w:pPr>
      <w:r w:rsidRPr="001C40FD">
        <w:rPr>
          <w:rFonts w:eastAsia="Times New Roman"/>
          <w:noProof/>
        </w:rPr>
        <w:t>Al fine di garantire una rigorosa lettura dei dati, le spese in C/capitale sono poi depurate dai movimenti finanziari di fondi che non hanno alcun legame con la gestione degli investimenti (concessione di crediti).</w:t>
      </w:r>
    </w:p>
    <w:p w14:paraId="05157660" w14:textId="77777777" w:rsidR="00B96387" w:rsidRPr="001C40FD" w:rsidRDefault="00B96387" w:rsidP="00E6253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1C40FD">
        <w:rPr>
          <w:rFonts w:ascii="Cambria" w:hAnsi="Cambria" w:cs="Times New Roman"/>
        </w:rPr>
        <w:t>È importante infine notare l'accresciuto significato del bilancio pluriennale anche nel campo della programmazione degli investimenti. È infatti prescritto che "</w:t>
      </w:r>
      <w:r w:rsidRPr="001C40FD">
        <w:rPr>
          <w:rFonts w:ascii="Cambria" w:hAnsi="Cambria" w:cs="Times New Roman"/>
          <w:i/>
          <w:iCs/>
        </w:rPr>
        <w:t xml:space="preserve">per tutti gli investimenti degli enti locali, comunque finanziati, l'organo deliberante, nell'approvare il progetto od il piano esecutivo </w:t>
      </w:r>
      <w:r w:rsidRPr="001C40FD">
        <w:rPr>
          <w:rFonts w:ascii="Cambria" w:hAnsi="Cambria" w:cs="Times New Roman"/>
          <w:i/>
          <w:iCs/>
        </w:rPr>
        <w:lastRenderedPageBreak/>
        <w:t>dell'investimento, dà atto della copertura delle maggiori spese derivanti dallo stesso nel bilancio pluriennale originario, eventualmente modificato dall'organo consiliare, ed assume impegno di inserire nei bilanci pluriennali successivi le ulteriori o maggiori previsioni di spesa relative ad esercizi futuri, delle quali è redatto apposito elenco</w:t>
      </w:r>
      <w:r w:rsidRPr="001C40FD">
        <w:rPr>
          <w:rFonts w:ascii="Cambria" w:hAnsi="Cambria" w:cs="Times New Roman"/>
        </w:rPr>
        <w:t>" (D.Lgs.267/00, art.200/1).</w:t>
      </w:r>
    </w:p>
    <w:p w14:paraId="236AECA3" w14:textId="77777777" w:rsidR="00DE1D5E" w:rsidRPr="001C40FD" w:rsidRDefault="00DE1D5E" w:rsidP="00E6253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5804DFB0" w14:textId="77777777" w:rsidR="008D14EA" w:rsidRPr="001C40FD" w:rsidRDefault="008D14EA" w:rsidP="00E6253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r w:rsidRPr="00605C51">
        <w:rPr>
          <w:rFonts w:ascii="Cambria" w:hAnsi="Cambria" w:cs="Times New Roman"/>
        </w:rPr>
        <w:t>Si riporta di seguito il prospetto degli investi</w:t>
      </w:r>
      <w:r w:rsidR="00077EBF" w:rsidRPr="00605C51">
        <w:rPr>
          <w:rFonts w:ascii="Cambria" w:hAnsi="Cambria" w:cs="Times New Roman"/>
        </w:rPr>
        <w:t xml:space="preserve">menti previsti nel triennio </w:t>
      </w:r>
      <w:r w:rsidR="00BD4DA2" w:rsidRPr="00605C51">
        <w:rPr>
          <w:rFonts w:ascii="Cambria" w:hAnsi="Cambria" w:cs="Times New Roman"/>
        </w:rPr>
        <w:t>202</w:t>
      </w:r>
      <w:r w:rsidR="003E16C9" w:rsidRPr="00605C51">
        <w:rPr>
          <w:rFonts w:ascii="Cambria" w:hAnsi="Cambria" w:cs="Times New Roman"/>
        </w:rPr>
        <w:t>1</w:t>
      </w:r>
      <w:r w:rsidR="00BD4DA2" w:rsidRPr="00605C51">
        <w:rPr>
          <w:rFonts w:ascii="Cambria" w:hAnsi="Cambria" w:cs="Times New Roman"/>
        </w:rPr>
        <w:t>-202</w:t>
      </w:r>
      <w:r w:rsidR="003E16C9" w:rsidRPr="00605C51">
        <w:rPr>
          <w:rFonts w:ascii="Cambria" w:hAnsi="Cambria" w:cs="Times New Roman"/>
        </w:rPr>
        <w:t>3</w:t>
      </w:r>
      <w:r w:rsidRPr="00605C51">
        <w:rPr>
          <w:rFonts w:ascii="Cambria" w:hAnsi="Cambria" w:cs="Times New Roman"/>
        </w:rPr>
        <w:t xml:space="preserve"> con la relativa previsione di entrata</w:t>
      </w:r>
      <w:r w:rsidR="00DE1D5E" w:rsidRPr="00605C51">
        <w:rPr>
          <w:rFonts w:ascii="Cambria" w:hAnsi="Cambria" w:cs="Times New Roman"/>
        </w:rPr>
        <w:t>.</w:t>
      </w:r>
      <w:r w:rsidR="00077EBF" w:rsidRPr="001C40FD">
        <w:rPr>
          <w:rFonts w:ascii="Cambria" w:hAnsi="Cambria" w:cs="Times New Roman"/>
        </w:rPr>
        <w:t xml:space="preserve"> </w:t>
      </w:r>
    </w:p>
    <w:p w14:paraId="4E063ECD" w14:textId="77777777" w:rsidR="001F73B6" w:rsidRDefault="001F73B6" w:rsidP="00E6253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rPr>
      </w:pPr>
    </w:p>
    <w:p w14:paraId="095C302B" w14:textId="77777777" w:rsidR="00876713" w:rsidRPr="00F455E3" w:rsidRDefault="00876713" w:rsidP="00876713">
      <w:pPr>
        <w:rPr>
          <w:rFonts w:asciiTheme="minorHAnsi" w:hAnsiTheme="minorHAnsi" w:cs="Calibri"/>
          <w:u w:val="single"/>
        </w:rPr>
      </w:pPr>
      <w:proofErr w:type="gramStart"/>
      <w:r w:rsidRPr="00F455E3">
        <w:rPr>
          <w:rFonts w:asciiTheme="minorHAnsi" w:hAnsiTheme="minorHAnsi" w:cs="Calibri"/>
          <w:u w:val="single"/>
        </w:rPr>
        <w:t>esercizio</w:t>
      </w:r>
      <w:proofErr w:type="gramEnd"/>
      <w:r w:rsidRPr="00F455E3">
        <w:rPr>
          <w:rFonts w:asciiTheme="minorHAnsi" w:hAnsiTheme="minorHAnsi" w:cs="Calibri"/>
          <w:u w:val="single"/>
        </w:rPr>
        <w:t xml:space="preserve"> 2021: </w:t>
      </w:r>
    </w:p>
    <w:p w14:paraId="30B09493" w14:textId="77777777" w:rsidR="00876713" w:rsidRPr="00F455E3" w:rsidRDefault="00876713" w:rsidP="00876713">
      <w:pPr>
        <w:rPr>
          <w:rFonts w:asciiTheme="minorHAnsi" w:hAnsiTheme="minorHAnsi" w:cs="Calibri"/>
        </w:rPr>
      </w:pPr>
      <w:bookmarkStart w:id="2" w:name="_Hlk46841773"/>
    </w:p>
    <w:tbl>
      <w:tblPr>
        <w:tblStyle w:val="Grigliatabella"/>
        <w:tblW w:w="0" w:type="auto"/>
        <w:tblLook w:val="04A0" w:firstRow="1" w:lastRow="0" w:firstColumn="1" w:lastColumn="0" w:noHBand="0" w:noVBand="1"/>
      </w:tblPr>
      <w:tblGrid>
        <w:gridCol w:w="3259"/>
        <w:gridCol w:w="2094"/>
        <w:gridCol w:w="4425"/>
      </w:tblGrid>
      <w:tr w:rsidR="00876713" w:rsidRPr="00F455E3" w14:paraId="45B53F07" w14:textId="77777777" w:rsidTr="00777928">
        <w:tc>
          <w:tcPr>
            <w:tcW w:w="3259" w:type="dxa"/>
          </w:tcPr>
          <w:p w14:paraId="014092AA" w14:textId="77777777" w:rsidR="00876713" w:rsidRPr="00F455E3" w:rsidRDefault="00876713" w:rsidP="00777928">
            <w:pPr>
              <w:rPr>
                <w:rFonts w:asciiTheme="minorHAnsi" w:hAnsiTheme="minorHAnsi" w:cs="Calibri"/>
              </w:rPr>
            </w:pPr>
            <w:proofErr w:type="gramStart"/>
            <w:r w:rsidRPr="00F455E3">
              <w:rPr>
                <w:rFonts w:asciiTheme="minorHAnsi" w:hAnsiTheme="minorHAnsi" w:cs="Calibri"/>
              </w:rPr>
              <w:t>intervento</w:t>
            </w:r>
            <w:proofErr w:type="gramEnd"/>
          </w:p>
        </w:tc>
        <w:tc>
          <w:tcPr>
            <w:tcW w:w="2094" w:type="dxa"/>
          </w:tcPr>
          <w:p w14:paraId="25472D45" w14:textId="77777777" w:rsidR="00876713" w:rsidRPr="00F455E3" w:rsidRDefault="00876713" w:rsidP="00777928">
            <w:pPr>
              <w:rPr>
                <w:rFonts w:asciiTheme="minorHAnsi" w:hAnsiTheme="minorHAnsi" w:cs="Calibri"/>
              </w:rPr>
            </w:pPr>
            <w:r w:rsidRPr="00F455E3">
              <w:rPr>
                <w:rFonts w:asciiTheme="minorHAnsi" w:hAnsiTheme="minorHAnsi" w:cs="Calibri"/>
              </w:rPr>
              <w:t xml:space="preserve">Importo </w:t>
            </w:r>
          </w:p>
        </w:tc>
        <w:tc>
          <w:tcPr>
            <w:tcW w:w="4425" w:type="dxa"/>
          </w:tcPr>
          <w:p w14:paraId="36A07BAC" w14:textId="77777777" w:rsidR="00876713" w:rsidRPr="00F455E3" w:rsidRDefault="00876713" w:rsidP="00777928">
            <w:pPr>
              <w:rPr>
                <w:rFonts w:asciiTheme="minorHAnsi" w:hAnsiTheme="minorHAnsi" w:cs="Calibri"/>
              </w:rPr>
            </w:pPr>
            <w:r w:rsidRPr="00F455E3">
              <w:rPr>
                <w:rFonts w:asciiTheme="minorHAnsi" w:hAnsiTheme="minorHAnsi" w:cs="Calibri"/>
              </w:rPr>
              <w:t>Fonte di finanziamento</w:t>
            </w:r>
          </w:p>
        </w:tc>
      </w:tr>
      <w:tr w:rsidR="00876713" w:rsidRPr="00F455E3" w14:paraId="74D75399" w14:textId="77777777" w:rsidTr="00777928">
        <w:tc>
          <w:tcPr>
            <w:tcW w:w="3259" w:type="dxa"/>
          </w:tcPr>
          <w:p w14:paraId="553FC0EA" w14:textId="77777777" w:rsidR="00876713" w:rsidRPr="00F455E3" w:rsidRDefault="00876713" w:rsidP="00777928">
            <w:pPr>
              <w:jc w:val="both"/>
              <w:rPr>
                <w:rFonts w:asciiTheme="minorHAnsi" w:hAnsiTheme="minorHAnsi" w:cs="Calibri"/>
              </w:rPr>
            </w:pPr>
            <w:r w:rsidRPr="00F455E3">
              <w:rPr>
                <w:rFonts w:asciiTheme="minorHAnsi" w:hAnsiTheme="minorHAnsi" w:cs="Calibri"/>
              </w:rPr>
              <w:t xml:space="preserve">Interventi di </w:t>
            </w:r>
            <w:proofErr w:type="spellStart"/>
            <w:r w:rsidRPr="00F455E3">
              <w:rPr>
                <w:rFonts w:asciiTheme="minorHAnsi" w:hAnsiTheme="minorHAnsi" w:cs="Calibri"/>
              </w:rPr>
              <w:t>efficientamento</w:t>
            </w:r>
            <w:proofErr w:type="spellEnd"/>
            <w:r w:rsidRPr="00F455E3">
              <w:rPr>
                <w:rFonts w:asciiTheme="minorHAnsi" w:hAnsiTheme="minorHAnsi" w:cs="Calibri"/>
              </w:rPr>
              <w:t xml:space="preserve"> energetico, adeguamento e messa in sicurezza del patrimonio comunale</w:t>
            </w:r>
          </w:p>
        </w:tc>
        <w:tc>
          <w:tcPr>
            <w:tcW w:w="2094" w:type="dxa"/>
          </w:tcPr>
          <w:p w14:paraId="09D8B4E4" w14:textId="77777777" w:rsidR="00876713" w:rsidRPr="00F455E3" w:rsidRDefault="00876713" w:rsidP="00777928">
            <w:pPr>
              <w:jc w:val="right"/>
              <w:rPr>
                <w:rFonts w:asciiTheme="minorHAnsi" w:hAnsiTheme="minorHAnsi" w:cs="Calibri"/>
              </w:rPr>
            </w:pPr>
            <w:r w:rsidRPr="00F455E3">
              <w:rPr>
                <w:rFonts w:asciiTheme="minorHAnsi" w:hAnsiTheme="minorHAnsi" w:cs="Calibri"/>
              </w:rPr>
              <w:t>100.000,00</w:t>
            </w:r>
          </w:p>
        </w:tc>
        <w:tc>
          <w:tcPr>
            <w:tcW w:w="4425" w:type="dxa"/>
          </w:tcPr>
          <w:p w14:paraId="59A0472C" w14:textId="77777777" w:rsidR="00876713" w:rsidRPr="00F455E3" w:rsidRDefault="00876713" w:rsidP="00777928">
            <w:pPr>
              <w:jc w:val="both"/>
              <w:rPr>
                <w:rFonts w:asciiTheme="minorHAnsi" w:hAnsiTheme="minorHAnsi" w:cs="Calibri"/>
              </w:rPr>
            </w:pPr>
            <w:r w:rsidRPr="00F455E3">
              <w:rPr>
                <w:rFonts w:asciiTheme="minorHAnsi" w:hAnsiTheme="minorHAnsi" w:cs="Calibri"/>
              </w:rPr>
              <w:t xml:space="preserve">Euro 100.000,00: Contributo ministeriale ex L. 160/2019 c. 29 </w:t>
            </w:r>
            <w:proofErr w:type="spellStart"/>
            <w:r w:rsidRPr="00F455E3">
              <w:rPr>
                <w:rFonts w:asciiTheme="minorHAnsi" w:hAnsiTheme="minorHAnsi" w:cs="Calibri"/>
              </w:rPr>
              <w:t>lett</w:t>
            </w:r>
            <w:proofErr w:type="spellEnd"/>
            <w:r w:rsidRPr="00F455E3">
              <w:rPr>
                <w:rFonts w:asciiTheme="minorHAnsi" w:hAnsiTheme="minorHAnsi" w:cs="Calibri"/>
              </w:rPr>
              <w:t>. a) e b)</w:t>
            </w:r>
          </w:p>
        </w:tc>
      </w:tr>
      <w:tr w:rsidR="00876713" w:rsidRPr="00F455E3" w14:paraId="03C20C0E" w14:textId="77777777" w:rsidTr="00777928">
        <w:tc>
          <w:tcPr>
            <w:tcW w:w="3259" w:type="dxa"/>
          </w:tcPr>
          <w:p w14:paraId="03AF1503" w14:textId="77777777" w:rsidR="00876713" w:rsidRPr="00F455E3" w:rsidRDefault="00876713" w:rsidP="00777928">
            <w:pPr>
              <w:jc w:val="both"/>
              <w:rPr>
                <w:rFonts w:asciiTheme="minorHAnsi" w:hAnsiTheme="minorHAnsi" w:cs="Calibri"/>
              </w:rPr>
            </w:pPr>
            <w:r w:rsidRPr="00F455E3">
              <w:rPr>
                <w:rFonts w:asciiTheme="minorHAnsi" w:hAnsiTheme="minorHAnsi" w:cs="Calibri"/>
              </w:rPr>
              <w:t>Impianto videosorveglianza</w:t>
            </w:r>
          </w:p>
        </w:tc>
        <w:tc>
          <w:tcPr>
            <w:tcW w:w="2094" w:type="dxa"/>
          </w:tcPr>
          <w:p w14:paraId="6EC5D473" w14:textId="77777777" w:rsidR="00876713" w:rsidRPr="00F455E3" w:rsidRDefault="00876713" w:rsidP="00777928">
            <w:pPr>
              <w:jc w:val="right"/>
              <w:rPr>
                <w:rFonts w:asciiTheme="minorHAnsi" w:hAnsiTheme="minorHAnsi" w:cs="Calibri"/>
              </w:rPr>
            </w:pPr>
            <w:r w:rsidRPr="00F455E3">
              <w:rPr>
                <w:rFonts w:asciiTheme="minorHAnsi" w:hAnsiTheme="minorHAnsi" w:cs="Calibri"/>
              </w:rPr>
              <w:t>90.000,00</w:t>
            </w:r>
          </w:p>
        </w:tc>
        <w:tc>
          <w:tcPr>
            <w:tcW w:w="4425" w:type="dxa"/>
          </w:tcPr>
          <w:p w14:paraId="3674411B" w14:textId="77777777" w:rsidR="00876713" w:rsidRPr="00F455E3" w:rsidRDefault="00876713" w:rsidP="00777928">
            <w:pPr>
              <w:jc w:val="both"/>
              <w:rPr>
                <w:rFonts w:asciiTheme="minorHAnsi" w:hAnsiTheme="minorHAnsi" w:cs="Calibri"/>
              </w:rPr>
            </w:pPr>
            <w:r w:rsidRPr="00F455E3">
              <w:rPr>
                <w:rFonts w:asciiTheme="minorHAnsi" w:hAnsiTheme="minorHAnsi" w:cs="Calibri"/>
              </w:rPr>
              <w:t>Euro 85.0000: contributo erariale</w:t>
            </w:r>
          </w:p>
          <w:p w14:paraId="24F27011" w14:textId="77777777" w:rsidR="00876713" w:rsidRPr="00F455E3" w:rsidRDefault="00876713" w:rsidP="00777928">
            <w:pPr>
              <w:jc w:val="both"/>
              <w:rPr>
                <w:rFonts w:asciiTheme="minorHAnsi" w:hAnsiTheme="minorHAnsi" w:cs="Calibri"/>
              </w:rPr>
            </w:pPr>
            <w:r w:rsidRPr="00F455E3">
              <w:rPr>
                <w:rFonts w:asciiTheme="minorHAnsi" w:hAnsiTheme="minorHAnsi" w:cs="Calibri"/>
              </w:rPr>
              <w:t>Euro 5.000: proventi da affrancatura di terreni soggetti ad enfiteusi</w:t>
            </w:r>
          </w:p>
        </w:tc>
      </w:tr>
      <w:tr w:rsidR="00876713" w:rsidRPr="00F455E3" w14:paraId="3DCC8427" w14:textId="77777777" w:rsidTr="00777928">
        <w:tc>
          <w:tcPr>
            <w:tcW w:w="3259" w:type="dxa"/>
          </w:tcPr>
          <w:p w14:paraId="46551A53" w14:textId="77777777" w:rsidR="00876713" w:rsidRPr="00F455E3" w:rsidRDefault="00876713" w:rsidP="00777928">
            <w:pPr>
              <w:jc w:val="both"/>
              <w:rPr>
                <w:rFonts w:asciiTheme="minorHAnsi" w:hAnsiTheme="minorHAnsi" w:cs="Calibri"/>
              </w:rPr>
            </w:pPr>
            <w:r w:rsidRPr="00F455E3">
              <w:rPr>
                <w:rFonts w:asciiTheme="minorHAnsi" w:hAnsiTheme="minorHAnsi" w:cs="Calibri"/>
              </w:rPr>
              <w:t>Interventi di miglioramento della viabilità</w:t>
            </w:r>
          </w:p>
        </w:tc>
        <w:tc>
          <w:tcPr>
            <w:tcW w:w="2094" w:type="dxa"/>
          </w:tcPr>
          <w:p w14:paraId="49DFC68E" w14:textId="77777777" w:rsidR="00876713" w:rsidRPr="00F455E3" w:rsidRDefault="00876713" w:rsidP="00777928">
            <w:pPr>
              <w:jc w:val="right"/>
              <w:rPr>
                <w:rFonts w:asciiTheme="minorHAnsi" w:hAnsiTheme="minorHAnsi" w:cs="Calibri"/>
              </w:rPr>
            </w:pPr>
            <w:r w:rsidRPr="00F455E3">
              <w:rPr>
                <w:rFonts w:asciiTheme="minorHAnsi" w:hAnsiTheme="minorHAnsi" w:cs="Calibri"/>
              </w:rPr>
              <w:t>15.000,00</w:t>
            </w:r>
          </w:p>
        </w:tc>
        <w:tc>
          <w:tcPr>
            <w:tcW w:w="4425" w:type="dxa"/>
          </w:tcPr>
          <w:p w14:paraId="28D11EB6" w14:textId="77777777" w:rsidR="00876713" w:rsidRPr="00F455E3" w:rsidRDefault="00876713" w:rsidP="00777928">
            <w:pPr>
              <w:jc w:val="both"/>
              <w:rPr>
                <w:rFonts w:cs="Calibri"/>
              </w:rPr>
            </w:pPr>
            <w:r w:rsidRPr="00F455E3">
              <w:rPr>
                <w:rFonts w:ascii="Calibri" w:hAnsi="Calibri" w:cs="Calibri"/>
              </w:rPr>
              <w:t>Euro 5.000: proventi da affrancatura di terreni soggetti ad enfiteusi</w:t>
            </w:r>
          </w:p>
          <w:p w14:paraId="7993FFE2" w14:textId="77777777" w:rsidR="00876713" w:rsidRPr="00F455E3" w:rsidRDefault="00876713" w:rsidP="00777928">
            <w:pPr>
              <w:jc w:val="both"/>
              <w:rPr>
                <w:rFonts w:asciiTheme="minorHAnsi" w:hAnsiTheme="minorHAnsi" w:cs="Calibri"/>
              </w:rPr>
            </w:pPr>
            <w:r w:rsidRPr="00F455E3">
              <w:rPr>
                <w:rFonts w:cs="Calibri"/>
              </w:rPr>
              <w:t>Euro 10.000,00 proventi concessioni edilizie</w:t>
            </w:r>
          </w:p>
        </w:tc>
      </w:tr>
      <w:tr w:rsidR="00876713" w:rsidRPr="00F455E3" w14:paraId="7C3C8999" w14:textId="77777777" w:rsidTr="00777928">
        <w:tc>
          <w:tcPr>
            <w:tcW w:w="3259" w:type="dxa"/>
          </w:tcPr>
          <w:p w14:paraId="69F69A2B" w14:textId="77777777" w:rsidR="00876713" w:rsidRPr="00F455E3" w:rsidRDefault="00876713" w:rsidP="00777928">
            <w:pPr>
              <w:jc w:val="both"/>
              <w:rPr>
                <w:rFonts w:asciiTheme="minorHAnsi" w:hAnsiTheme="minorHAnsi" w:cs="Calibri"/>
              </w:rPr>
            </w:pPr>
            <w:r w:rsidRPr="00F455E3">
              <w:rPr>
                <w:rFonts w:asciiTheme="minorHAnsi" w:hAnsiTheme="minorHAnsi" w:cs="Calibri"/>
              </w:rPr>
              <w:t>Progettazione di interventi in conto capitale</w:t>
            </w:r>
          </w:p>
        </w:tc>
        <w:tc>
          <w:tcPr>
            <w:tcW w:w="2094" w:type="dxa"/>
          </w:tcPr>
          <w:p w14:paraId="348540D5" w14:textId="77777777" w:rsidR="00876713" w:rsidRPr="00F455E3" w:rsidRDefault="00876713" w:rsidP="00777928">
            <w:pPr>
              <w:jc w:val="right"/>
              <w:rPr>
                <w:rFonts w:asciiTheme="minorHAnsi" w:hAnsiTheme="minorHAnsi" w:cs="Calibri"/>
              </w:rPr>
            </w:pPr>
            <w:r w:rsidRPr="00F455E3">
              <w:rPr>
                <w:rFonts w:asciiTheme="minorHAnsi" w:hAnsiTheme="minorHAnsi" w:cs="Calibri"/>
              </w:rPr>
              <w:t>20.000,00</w:t>
            </w:r>
          </w:p>
        </w:tc>
        <w:tc>
          <w:tcPr>
            <w:tcW w:w="4425" w:type="dxa"/>
          </w:tcPr>
          <w:p w14:paraId="771503B7" w14:textId="77777777" w:rsidR="00876713" w:rsidRPr="00F455E3" w:rsidRDefault="00876713" w:rsidP="00777928">
            <w:pPr>
              <w:jc w:val="both"/>
              <w:rPr>
                <w:rFonts w:asciiTheme="minorHAnsi" w:hAnsiTheme="minorHAnsi" w:cs="Calibri"/>
              </w:rPr>
            </w:pPr>
            <w:r w:rsidRPr="00F455E3">
              <w:rPr>
                <w:rFonts w:asciiTheme="minorHAnsi" w:hAnsiTheme="minorHAnsi" w:cs="Calibri"/>
              </w:rPr>
              <w:t>Euro 20.000: contributo ministeriale per finanziamento progettazioni in conto capitale</w:t>
            </w:r>
          </w:p>
        </w:tc>
      </w:tr>
      <w:bookmarkEnd w:id="2"/>
    </w:tbl>
    <w:p w14:paraId="3977B82E" w14:textId="77777777" w:rsidR="00876713" w:rsidRPr="00F455E3" w:rsidRDefault="00876713" w:rsidP="00876713">
      <w:pPr>
        <w:rPr>
          <w:rFonts w:cs="Calibri"/>
        </w:rPr>
      </w:pPr>
    </w:p>
    <w:p w14:paraId="40E19175" w14:textId="77777777" w:rsidR="00876713" w:rsidRPr="00F455E3" w:rsidRDefault="00876713" w:rsidP="00876713">
      <w:pPr>
        <w:rPr>
          <w:rFonts w:cs="Calibri"/>
          <w:u w:val="single"/>
        </w:rPr>
      </w:pPr>
      <w:proofErr w:type="gramStart"/>
      <w:r w:rsidRPr="00F455E3">
        <w:rPr>
          <w:rFonts w:cs="Calibri"/>
          <w:u w:val="single"/>
        </w:rPr>
        <w:t>esercizio</w:t>
      </w:r>
      <w:proofErr w:type="gramEnd"/>
      <w:r w:rsidRPr="00F455E3">
        <w:rPr>
          <w:rFonts w:cs="Calibri"/>
          <w:u w:val="single"/>
        </w:rPr>
        <w:t xml:space="preserve"> 2022:</w:t>
      </w:r>
    </w:p>
    <w:p w14:paraId="2895F9B1" w14:textId="77777777" w:rsidR="00876713" w:rsidRPr="00F455E3" w:rsidRDefault="00876713" w:rsidP="00876713">
      <w:pPr>
        <w:rPr>
          <w:rFonts w:cs="Calibri"/>
        </w:rPr>
      </w:pPr>
    </w:p>
    <w:tbl>
      <w:tblPr>
        <w:tblStyle w:val="Grigliatabella"/>
        <w:tblW w:w="0" w:type="auto"/>
        <w:tblLook w:val="04A0" w:firstRow="1" w:lastRow="0" w:firstColumn="1" w:lastColumn="0" w:noHBand="0" w:noVBand="1"/>
      </w:tblPr>
      <w:tblGrid>
        <w:gridCol w:w="3259"/>
        <w:gridCol w:w="2094"/>
        <w:gridCol w:w="4425"/>
      </w:tblGrid>
      <w:tr w:rsidR="00876713" w:rsidRPr="00F455E3" w14:paraId="7E701BE6" w14:textId="77777777" w:rsidTr="00777928">
        <w:tc>
          <w:tcPr>
            <w:tcW w:w="3259" w:type="dxa"/>
          </w:tcPr>
          <w:p w14:paraId="1C98BA05" w14:textId="77777777" w:rsidR="00876713" w:rsidRPr="00F455E3" w:rsidRDefault="00876713" w:rsidP="00777928">
            <w:pPr>
              <w:rPr>
                <w:rFonts w:cs="Calibri"/>
              </w:rPr>
            </w:pPr>
            <w:proofErr w:type="gramStart"/>
            <w:r w:rsidRPr="00F455E3">
              <w:rPr>
                <w:rFonts w:cs="Calibri"/>
              </w:rPr>
              <w:t>intervento</w:t>
            </w:r>
            <w:proofErr w:type="gramEnd"/>
          </w:p>
        </w:tc>
        <w:tc>
          <w:tcPr>
            <w:tcW w:w="2094" w:type="dxa"/>
          </w:tcPr>
          <w:p w14:paraId="2A250691" w14:textId="77777777" w:rsidR="00876713" w:rsidRPr="00F455E3" w:rsidRDefault="00876713" w:rsidP="00777928">
            <w:pPr>
              <w:rPr>
                <w:rFonts w:cs="Calibri"/>
              </w:rPr>
            </w:pPr>
            <w:r w:rsidRPr="00F455E3">
              <w:rPr>
                <w:rFonts w:cs="Calibri"/>
              </w:rPr>
              <w:t xml:space="preserve">Importo </w:t>
            </w:r>
          </w:p>
        </w:tc>
        <w:tc>
          <w:tcPr>
            <w:tcW w:w="4425" w:type="dxa"/>
          </w:tcPr>
          <w:p w14:paraId="6979BDB8" w14:textId="77777777" w:rsidR="00876713" w:rsidRPr="00F455E3" w:rsidRDefault="00876713" w:rsidP="00777928">
            <w:pPr>
              <w:rPr>
                <w:rFonts w:cs="Calibri"/>
              </w:rPr>
            </w:pPr>
            <w:r w:rsidRPr="00F455E3">
              <w:rPr>
                <w:rFonts w:cs="Calibri"/>
              </w:rPr>
              <w:t>Fonte di finanziamento</w:t>
            </w:r>
          </w:p>
        </w:tc>
      </w:tr>
      <w:tr w:rsidR="00876713" w:rsidRPr="00F455E3" w14:paraId="7C5BA915" w14:textId="77777777" w:rsidTr="00777928">
        <w:tc>
          <w:tcPr>
            <w:tcW w:w="3259" w:type="dxa"/>
          </w:tcPr>
          <w:p w14:paraId="2DEB4183" w14:textId="77777777" w:rsidR="00876713" w:rsidRPr="00F455E3" w:rsidRDefault="00876713" w:rsidP="00777928">
            <w:pPr>
              <w:rPr>
                <w:rFonts w:cs="Calibri"/>
              </w:rPr>
            </w:pPr>
            <w:proofErr w:type="spellStart"/>
            <w:r w:rsidRPr="00F455E3">
              <w:rPr>
                <w:rFonts w:cs="Calibri"/>
              </w:rPr>
              <w:t>Efficientamento</w:t>
            </w:r>
            <w:proofErr w:type="spellEnd"/>
            <w:r w:rsidRPr="00F455E3">
              <w:rPr>
                <w:rFonts w:cs="Calibri"/>
              </w:rPr>
              <w:t xml:space="preserve"> energetico, adeguamento e messa in sicurezza del patrimonio comunale</w:t>
            </w:r>
          </w:p>
        </w:tc>
        <w:tc>
          <w:tcPr>
            <w:tcW w:w="2094" w:type="dxa"/>
          </w:tcPr>
          <w:p w14:paraId="353D1B47" w14:textId="77777777" w:rsidR="00876713" w:rsidRPr="00F455E3" w:rsidRDefault="00876713" w:rsidP="00777928">
            <w:pPr>
              <w:rPr>
                <w:rFonts w:cs="Calibri"/>
              </w:rPr>
            </w:pPr>
            <w:r w:rsidRPr="00F455E3">
              <w:rPr>
                <w:rFonts w:cs="Calibri"/>
              </w:rPr>
              <w:t>50.000,00</w:t>
            </w:r>
          </w:p>
        </w:tc>
        <w:tc>
          <w:tcPr>
            <w:tcW w:w="4425" w:type="dxa"/>
          </w:tcPr>
          <w:p w14:paraId="044C40B9" w14:textId="77777777" w:rsidR="00876713" w:rsidRPr="00F455E3" w:rsidRDefault="00876713" w:rsidP="00777928">
            <w:pPr>
              <w:jc w:val="both"/>
              <w:rPr>
                <w:rFonts w:cs="Calibri"/>
              </w:rPr>
            </w:pPr>
            <w:proofErr w:type="gramStart"/>
            <w:r w:rsidRPr="00F455E3">
              <w:rPr>
                <w:rFonts w:cs="Calibri"/>
              </w:rPr>
              <w:t>euro</w:t>
            </w:r>
            <w:proofErr w:type="gramEnd"/>
            <w:r w:rsidRPr="00F455E3">
              <w:rPr>
                <w:rFonts w:cs="Calibri"/>
              </w:rPr>
              <w:t xml:space="preserve"> 50.000,00: Contributo ministeriale ex L. 160/2019 c. 29 </w:t>
            </w:r>
            <w:proofErr w:type="spellStart"/>
            <w:r w:rsidRPr="00F455E3">
              <w:rPr>
                <w:rFonts w:cs="Calibri"/>
              </w:rPr>
              <w:t>lett</w:t>
            </w:r>
            <w:proofErr w:type="spellEnd"/>
            <w:r w:rsidRPr="00F455E3">
              <w:rPr>
                <w:rFonts w:cs="Calibri"/>
              </w:rPr>
              <w:t>. a) e b)</w:t>
            </w:r>
          </w:p>
        </w:tc>
      </w:tr>
      <w:tr w:rsidR="00876713" w:rsidRPr="0017006C" w14:paraId="7D6B24A3" w14:textId="77777777" w:rsidTr="00777928">
        <w:tc>
          <w:tcPr>
            <w:tcW w:w="3259" w:type="dxa"/>
          </w:tcPr>
          <w:p w14:paraId="63728D74" w14:textId="77777777" w:rsidR="00876713" w:rsidRPr="00F455E3" w:rsidRDefault="00876713" w:rsidP="00777928">
            <w:pPr>
              <w:rPr>
                <w:rFonts w:cs="Calibri"/>
              </w:rPr>
            </w:pPr>
            <w:r w:rsidRPr="00F455E3">
              <w:rPr>
                <w:rFonts w:cs="Calibri"/>
              </w:rPr>
              <w:t>Interventi in materia di sviluppo sostenibile e tutela dell’ambiente</w:t>
            </w:r>
          </w:p>
        </w:tc>
        <w:tc>
          <w:tcPr>
            <w:tcW w:w="2094" w:type="dxa"/>
          </w:tcPr>
          <w:p w14:paraId="3CA97AAD" w14:textId="77777777" w:rsidR="00876713" w:rsidRPr="00F455E3" w:rsidRDefault="00876713" w:rsidP="00777928">
            <w:pPr>
              <w:rPr>
                <w:rFonts w:cs="Calibri"/>
              </w:rPr>
            </w:pPr>
            <w:r w:rsidRPr="00F455E3">
              <w:rPr>
                <w:rFonts w:cs="Calibri"/>
              </w:rPr>
              <w:t>33.000,00</w:t>
            </w:r>
          </w:p>
        </w:tc>
        <w:tc>
          <w:tcPr>
            <w:tcW w:w="4425" w:type="dxa"/>
          </w:tcPr>
          <w:p w14:paraId="4CD40907" w14:textId="77777777" w:rsidR="00876713" w:rsidRPr="0017006C" w:rsidRDefault="00876713" w:rsidP="00777928">
            <w:pPr>
              <w:jc w:val="both"/>
              <w:rPr>
                <w:rFonts w:cs="Calibri"/>
              </w:rPr>
            </w:pPr>
            <w:r w:rsidRPr="00F455E3">
              <w:rPr>
                <w:rFonts w:cs="Calibri"/>
              </w:rPr>
              <w:t>Avanzo economico</w:t>
            </w:r>
          </w:p>
        </w:tc>
      </w:tr>
    </w:tbl>
    <w:p w14:paraId="12696BEA" w14:textId="77777777" w:rsidR="00876713" w:rsidRPr="0017006C" w:rsidRDefault="00876713" w:rsidP="00876713">
      <w:pPr>
        <w:rPr>
          <w:rFonts w:cs="Calibri"/>
        </w:rPr>
      </w:pPr>
    </w:p>
    <w:p w14:paraId="715DBCA8" w14:textId="77777777" w:rsidR="00876713" w:rsidRPr="0017006C" w:rsidRDefault="00876713" w:rsidP="00876713">
      <w:pPr>
        <w:rPr>
          <w:rFonts w:cs="Calibri"/>
        </w:rPr>
      </w:pPr>
    </w:p>
    <w:p w14:paraId="4DF660C5" w14:textId="77777777" w:rsidR="00876713" w:rsidRDefault="00876713">
      <w:pPr>
        <w:rPr>
          <w:rFonts w:cs="Calibri"/>
          <w:u w:val="single"/>
        </w:rPr>
      </w:pPr>
      <w:r>
        <w:rPr>
          <w:rFonts w:cs="Calibri"/>
          <w:u w:val="single"/>
        </w:rPr>
        <w:br w:type="page"/>
      </w:r>
    </w:p>
    <w:p w14:paraId="341B7244" w14:textId="533FB457" w:rsidR="00876713" w:rsidRPr="0017006C" w:rsidRDefault="00876713" w:rsidP="00876713">
      <w:pPr>
        <w:rPr>
          <w:rFonts w:cs="Calibri"/>
          <w:u w:val="single"/>
        </w:rPr>
      </w:pPr>
      <w:proofErr w:type="gramStart"/>
      <w:r w:rsidRPr="0017006C">
        <w:rPr>
          <w:rFonts w:cs="Calibri"/>
          <w:u w:val="single"/>
        </w:rPr>
        <w:lastRenderedPageBreak/>
        <w:t>esercizio</w:t>
      </w:r>
      <w:proofErr w:type="gramEnd"/>
      <w:r w:rsidRPr="0017006C">
        <w:rPr>
          <w:rFonts w:cs="Calibri"/>
          <w:u w:val="single"/>
        </w:rPr>
        <w:t xml:space="preserve"> 2023:</w:t>
      </w:r>
    </w:p>
    <w:p w14:paraId="1BFB70A6" w14:textId="77777777" w:rsidR="00876713" w:rsidRPr="0017006C" w:rsidRDefault="00876713" w:rsidP="00876713">
      <w:pPr>
        <w:rPr>
          <w:rFonts w:cs="Calibri"/>
        </w:rPr>
      </w:pPr>
    </w:p>
    <w:tbl>
      <w:tblPr>
        <w:tblStyle w:val="Grigliatabella"/>
        <w:tblW w:w="0" w:type="auto"/>
        <w:tblLook w:val="04A0" w:firstRow="1" w:lastRow="0" w:firstColumn="1" w:lastColumn="0" w:noHBand="0" w:noVBand="1"/>
      </w:tblPr>
      <w:tblGrid>
        <w:gridCol w:w="3259"/>
        <w:gridCol w:w="2094"/>
        <w:gridCol w:w="4425"/>
      </w:tblGrid>
      <w:tr w:rsidR="00876713" w:rsidRPr="0017006C" w14:paraId="2AB6A1FE" w14:textId="77777777" w:rsidTr="00777928">
        <w:tc>
          <w:tcPr>
            <w:tcW w:w="3259" w:type="dxa"/>
          </w:tcPr>
          <w:p w14:paraId="181D50E5" w14:textId="77777777" w:rsidR="00876713" w:rsidRPr="0017006C" w:rsidRDefault="00876713" w:rsidP="00777928">
            <w:pPr>
              <w:rPr>
                <w:rFonts w:cs="Calibri"/>
              </w:rPr>
            </w:pPr>
            <w:proofErr w:type="gramStart"/>
            <w:r w:rsidRPr="0017006C">
              <w:rPr>
                <w:rFonts w:cs="Calibri"/>
              </w:rPr>
              <w:t>intervento</w:t>
            </w:r>
            <w:proofErr w:type="gramEnd"/>
          </w:p>
        </w:tc>
        <w:tc>
          <w:tcPr>
            <w:tcW w:w="2094" w:type="dxa"/>
          </w:tcPr>
          <w:p w14:paraId="37B52AB2" w14:textId="77777777" w:rsidR="00876713" w:rsidRPr="0017006C" w:rsidRDefault="00876713" w:rsidP="00777928">
            <w:pPr>
              <w:rPr>
                <w:rFonts w:cs="Calibri"/>
              </w:rPr>
            </w:pPr>
            <w:r w:rsidRPr="0017006C">
              <w:rPr>
                <w:rFonts w:cs="Calibri"/>
              </w:rPr>
              <w:t xml:space="preserve">Importo </w:t>
            </w:r>
          </w:p>
        </w:tc>
        <w:tc>
          <w:tcPr>
            <w:tcW w:w="4425" w:type="dxa"/>
          </w:tcPr>
          <w:p w14:paraId="3C33CFC6" w14:textId="77777777" w:rsidR="00876713" w:rsidRPr="0017006C" w:rsidRDefault="00876713" w:rsidP="00777928">
            <w:pPr>
              <w:rPr>
                <w:rFonts w:cs="Calibri"/>
              </w:rPr>
            </w:pPr>
            <w:r w:rsidRPr="0017006C">
              <w:rPr>
                <w:rFonts w:cs="Calibri"/>
              </w:rPr>
              <w:t>Fonte di finanziamento</w:t>
            </w:r>
          </w:p>
        </w:tc>
      </w:tr>
      <w:tr w:rsidR="00876713" w:rsidRPr="0017006C" w14:paraId="17F8AA5C" w14:textId="77777777" w:rsidTr="00777928">
        <w:tc>
          <w:tcPr>
            <w:tcW w:w="3259" w:type="dxa"/>
          </w:tcPr>
          <w:p w14:paraId="3B71568E" w14:textId="77777777" w:rsidR="00876713" w:rsidRPr="0017006C" w:rsidRDefault="00876713" w:rsidP="00777928">
            <w:pPr>
              <w:rPr>
                <w:rFonts w:cs="Calibri"/>
              </w:rPr>
            </w:pPr>
            <w:proofErr w:type="spellStart"/>
            <w:r w:rsidRPr="0017006C">
              <w:rPr>
                <w:rFonts w:cs="Calibri"/>
              </w:rPr>
              <w:t>Efficientamento</w:t>
            </w:r>
            <w:proofErr w:type="spellEnd"/>
            <w:r w:rsidRPr="0017006C">
              <w:rPr>
                <w:rFonts w:cs="Calibri"/>
              </w:rPr>
              <w:t xml:space="preserve"> energetico, adeguamento e messa in sicurezza del patrimonio comunale</w:t>
            </w:r>
          </w:p>
        </w:tc>
        <w:tc>
          <w:tcPr>
            <w:tcW w:w="2094" w:type="dxa"/>
          </w:tcPr>
          <w:p w14:paraId="061251CB" w14:textId="77777777" w:rsidR="00876713" w:rsidRPr="0017006C" w:rsidRDefault="00876713" w:rsidP="00777928">
            <w:pPr>
              <w:rPr>
                <w:rFonts w:cs="Calibri"/>
              </w:rPr>
            </w:pPr>
            <w:r w:rsidRPr="0017006C">
              <w:rPr>
                <w:rFonts w:cs="Calibri"/>
              </w:rPr>
              <w:t>50.000,00</w:t>
            </w:r>
          </w:p>
        </w:tc>
        <w:tc>
          <w:tcPr>
            <w:tcW w:w="4425" w:type="dxa"/>
          </w:tcPr>
          <w:p w14:paraId="07D881D0" w14:textId="77777777" w:rsidR="00876713" w:rsidRPr="0017006C" w:rsidRDefault="00876713" w:rsidP="00777928">
            <w:pPr>
              <w:jc w:val="both"/>
              <w:rPr>
                <w:rFonts w:cs="Calibri"/>
              </w:rPr>
            </w:pPr>
            <w:proofErr w:type="gramStart"/>
            <w:r w:rsidRPr="0017006C">
              <w:rPr>
                <w:rFonts w:cs="Calibri"/>
              </w:rPr>
              <w:t>euro</w:t>
            </w:r>
            <w:proofErr w:type="gramEnd"/>
            <w:r w:rsidRPr="0017006C">
              <w:rPr>
                <w:rFonts w:cs="Calibri"/>
              </w:rPr>
              <w:t xml:space="preserve"> 50.000,00: Contributo ministeriale ex L. 160/2019 c. 29 </w:t>
            </w:r>
            <w:proofErr w:type="spellStart"/>
            <w:r w:rsidRPr="0017006C">
              <w:rPr>
                <w:rFonts w:cs="Calibri"/>
              </w:rPr>
              <w:t>lett</w:t>
            </w:r>
            <w:proofErr w:type="spellEnd"/>
            <w:r w:rsidRPr="0017006C">
              <w:rPr>
                <w:rFonts w:cs="Calibri"/>
              </w:rPr>
              <w:t>. a) e b)</w:t>
            </w:r>
          </w:p>
        </w:tc>
      </w:tr>
    </w:tbl>
    <w:p w14:paraId="39AC3BD4" w14:textId="77777777" w:rsidR="00876713" w:rsidRPr="0017006C" w:rsidRDefault="00876713" w:rsidP="00876713">
      <w:pPr>
        <w:rPr>
          <w:rFonts w:cs="Calibri"/>
        </w:rPr>
      </w:pPr>
    </w:p>
    <w:p w14:paraId="61504299" w14:textId="46FFAA33" w:rsidR="00921A51" w:rsidRPr="001F477B" w:rsidRDefault="00921A51" w:rsidP="00E6253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60" w:lineRule="auto"/>
        <w:jc w:val="both"/>
        <w:rPr>
          <w:rFonts w:ascii="Cambria" w:hAnsi="Cambria" w:cs="Times New Roman"/>
          <w:sz w:val="22"/>
          <w:szCs w:val="18"/>
        </w:rPr>
      </w:pPr>
    </w:p>
    <w:p w14:paraId="5F17DB32" w14:textId="77777777" w:rsidR="00677DCA" w:rsidRPr="00766A03" w:rsidRDefault="00677DCA" w:rsidP="00BD4DA2">
      <w:pPr>
        <w:pStyle w:val="Sfondochiaro-Colore21"/>
        <w:outlineLvl w:val="0"/>
      </w:pPr>
      <w:r w:rsidRPr="00766A03">
        <w:t>FONDO PLURIENNALE VINCOLATO</w:t>
      </w:r>
    </w:p>
    <w:p w14:paraId="3140F16B" w14:textId="77777777" w:rsidR="00D15535" w:rsidRPr="00425FCB" w:rsidRDefault="00D15535" w:rsidP="00E62537">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rPr>
      </w:pPr>
      <w:r w:rsidRPr="00425FCB">
        <w:rPr>
          <w:rFonts w:ascii="Cambria" w:hAnsi="Cambria" w:cs="Times New Roman"/>
        </w:rPr>
        <w:t xml:space="preserve">Il FPV è un saldo finanziario costituito da risorse già accertate destinate al finanziamento di obbligazioni passive dell’ente già impegnate, ma esigibili in esercizi successivi al quello in cui è stata accertata l’entrata. </w:t>
      </w:r>
    </w:p>
    <w:p w14:paraId="237A7110" w14:textId="77777777" w:rsidR="00D15535" w:rsidRPr="00425FCB" w:rsidRDefault="00D15535" w:rsidP="00E62537">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ambria" w:hAnsi="Cambria" w:cs="Times New Roman"/>
        </w:rPr>
      </w:pPr>
      <w:r w:rsidRPr="00425FCB">
        <w:rPr>
          <w:rFonts w:ascii="Cambria" w:hAnsi="Cambria" w:cs="Times New Roman"/>
        </w:rPr>
        <w:t xml:space="preserve">Secondo il nuovo principio contabile della competenza finanziaria potenziata gli impegni finanziati da entrate a specifica destinazione, di parte corrente o investimenti, sono imputati negli esercizi in cui l’obbligazione diventerà esigibile. Questo comporta che lo stanziamento di spesa riconducibile all’originario finanziamento può essere ripartito proporzionalmente in più esercizi, attraverso l’impiego del cosiddetto “Fondo Pluriennale Vincolato”. Il FPV ha proprio lo scopo di fare convivere l’imputazione della spesa secondo questo principio (competenza potenziata) con l’esigenzia di evitare la formazione di componenti di avanzo o disavanzo artificiose, e questo a partire dalla nascita del finanziamento e fino all’esercizio in cui la prestazione connessa con l’obbligazione passiva avrà termine. Questa tecnica contabile consente di evitare sul nascere la formazione di residui passivi che, nella nuova ottica, hanno origine solo da debiti effettivamente liquidi ed esigibili sorti nello stesso esercizio di imputazione contabile. Il fenomeno dell'accumulo progressivo di residui attivi e passivi di esito incerto e  d’incerta collocazione temporale, </w:t>
      </w:r>
      <w:r w:rsidR="00D12BAA" w:rsidRPr="00425FCB">
        <w:rPr>
          <w:rFonts w:ascii="Cambria" w:hAnsi="Cambria" w:cs="Times New Roman"/>
        </w:rPr>
        <w:t>p</w:t>
      </w:r>
      <w:r w:rsidRPr="00425FCB">
        <w:rPr>
          <w:rFonts w:ascii="Cambria" w:hAnsi="Cambria" w:cs="Times New Roman"/>
        </w:rPr>
        <w:t>ertanto, non trova più spazio nel nuovo ordinamento degli enti locali. La normativa in materia contabile estende l’impiego della tecnica del fondo pluriennale vincolato anche a ca</w:t>
      </w:r>
      <w:r w:rsidR="00D12BAA" w:rsidRPr="00425FCB">
        <w:rPr>
          <w:rFonts w:ascii="Cambria" w:hAnsi="Cambria" w:cs="Times New Roman"/>
        </w:rPr>
        <w:t>s</w:t>
      </w:r>
      <w:r w:rsidRPr="00425FCB">
        <w:rPr>
          <w:rFonts w:ascii="Cambria" w:hAnsi="Cambria" w:cs="Times New Roman"/>
        </w:rPr>
        <w:t>istiche diverse da quelle connesse con spese finanziate da entrate a specifica destinazione, ma solo per limitati casi e circostanze particolari espressamente previste dalla legge.</w:t>
      </w:r>
    </w:p>
    <w:p w14:paraId="2B502876" w14:textId="77777777" w:rsidR="00677DCA" w:rsidRPr="00A45E6A" w:rsidRDefault="00D15535" w:rsidP="00E62537">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rPr>
      </w:pPr>
      <w:r w:rsidRPr="00425FCB">
        <w:rPr>
          <w:rFonts w:ascii="Cambria" w:hAnsi="Cambria" w:cs="Times New Roman"/>
        </w:rPr>
        <w:t xml:space="preserve">Per entrare più nel dettaglio: nella parte spesa, la quota di impegni esigibili nell’esercizio restano imputati alle normali poste di spese, mentre il FPV /U accoglie la quota di impegni che si prevede </w:t>
      </w:r>
      <w:r w:rsidRPr="00425FCB">
        <w:rPr>
          <w:rFonts w:ascii="Cambria" w:hAnsi="Cambria" w:cs="Times New Roman"/>
        </w:rPr>
        <w:lastRenderedPageBreak/>
        <w:t xml:space="preserve">non si tradurranno in debito esigibile nell’esercizio di riferimento, in quanto imputabile agli esercizi futuri. L’importo complessivo di questo fondo (FPV/U), dato dalla somma di tutte le voci riconducibili a questa casistica, è stato poi ripreso tra le entrate del bilancio immediatamente successivo (FPV/E) in modo da garantire, sul nuovo esercizio, la copertura della parte dell’originario impegno rinviata al futuro. Viene così ad essere mantenuto in tutti gli anni del bilancio il pareggio tra l’entrata (finanziamento originario oppure fondo pluriennale vincolato in entrata) e la spesa complessiva dell’intervento previsto (somma dell’impegno imputato nell’esercizio di competenza e della parte rinviata al futuro; quest’ultima collocata nelle poste riconducibili al fondo pluriennale di uscita). Il valore complessivo del fondo pluriennale al 31/12 di ciascun esercizio è dato dalla somma delle voci di spesa relative a procedimenti sorti in esercizi </w:t>
      </w:r>
      <w:r w:rsidRPr="00A45E6A">
        <w:rPr>
          <w:rFonts w:ascii="Cambria" w:hAnsi="Cambria" w:cs="Times New Roman"/>
        </w:rPr>
        <w:t xml:space="preserve">precedenti (componenti pregresse del FPV/U) e dalle previsioni di uscita riconducibili al bilancio in corso (componente nuova del FPV/U). </w:t>
      </w:r>
    </w:p>
    <w:p w14:paraId="3D2D12CE" w14:textId="77777777" w:rsidR="008D14EA" w:rsidRPr="00425FCB" w:rsidRDefault="008D14EA" w:rsidP="00E62537">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rPr>
      </w:pPr>
      <w:r w:rsidRPr="00A45E6A">
        <w:rPr>
          <w:rFonts w:ascii="Cambria" w:hAnsi="Cambria" w:cs="Times New Roman"/>
        </w:rPr>
        <w:t>Non è stata prevista la quantificazione del FPV in sede di redazione del bilancio di previsione in quanto sarà oggetto di specifica determinazione in sede di riaccertamento ordinario dei residui.</w:t>
      </w:r>
    </w:p>
    <w:p w14:paraId="05373DCF" w14:textId="77777777" w:rsidR="00884F82" w:rsidRPr="00766A03" w:rsidRDefault="00884F82" w:rsidP="00E62537">
      <w:pPr>
        <w:pStyle w:val="Normale0"/>
        <w:tabs>
          <w:tab w:val="clear" w:pos="1134"/>
          <w:tab w:val="clear" w:pos="2268"/>
          <w:tab w:val="clear" w:pos="3402"/>
          <w:tab w:val="clear" w:pos="4536"/>
          <w:tab w:val="clear" w:pos="6804"/>
          <w:tab w:val="clear" w:pos="7938"/>
          <w:tab w:val="clear" w:pos="9072"/>
          <w:tab w:val="clear" w:pos="10206"/>
          <w:tab w:val="clear" w:pos="11340"/>
          <w:tab w:val="clear" w:pos="12474"/>
          <w:tab w:val="clear" w:pos="13608"/>
          <w:tab w:val="clear" w:pos="14742"/>
          <w:tab w:val="clear" w:pos="1587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line="360" w:lineRule="auto"/>
        <w:jc w:val="both"/>
        <w:rPr>
          <w:rFonts w:ascii="Cambria" w:hAnsi="Cambria" w:cs="Times New Roman"/>
          <w:sz w:val="22"/>
          <w:szCs w:val="18"/>
        </w:rPr>
      </w:pPr>
    </w:p>
    <w:p w14:paraId="334AE0ED" w14:textId="77777777" w:rsidR="00677DCA" w:rsidRPr="00766A03" w:rsidRDefault="00677DCA" w:rsidP="008830AE">
      <w:pPr>
        <w:pStyle w:val="Sfondochiaro-Colore21"/>
      </w:pPr>
      <w:bookmarkStart w:id="3" w:name="OLE_LINK18"/>
      <w:bookmarkStart w:id="4" w:name="OLE_LINK19"/>
      <w:r w:rsidRPr="00766A03">
        <w:t>GARANZIE PRINCIPALI O SUSSIDIARIE</w:t>
      </w:r>
      <w:r w:rsidR="008830AE" w:rsidRPr="00766A03">
        <w:t xml:space="preserve"> PRESTATE DALL’ENTE A FAVORE DI ALTRI SOGGETTI</w:t>
      </w:r>
    </w:p>
    <w:p w14:paraId="5AA3BCD0" w14:textId="77777777" w:rsidR="00C45F16" w:rsidRDefault="00C45F16" w:rsidP="00677DCA">
      <w:pPr>
        <w:rPr>
          <w:rFonts w:eastAsia="Times New Roman"/>
          <w:noProof/>
        </w:rPr>
      </w:pPr>
    </w:p>
    <w:p w14:paraId="568F53CC" w14:textId="77777777" w:rsidR="00677DCA" w:rsidRPr="00425FCB" w:rsidRDefault="008D14EA" w:rsidP="00677DCA">
      <w:pPr>
        <w:rPr>
          <w:rFonts w:eastAsia="Times New Roman"/>
          <w:noProof/>
        </w:rPr>
      </w:pPr>
      <w:r w:rsidRPr="001A2A09">
        <w:rPr>
          <w:rFonts w:eastAsia="Times New Roman"/>
          <w:noProof/>
        </w:rPr>
        <w:t>L’Ente non ha prestato alcuna garanzia a favore di altri soggetti.</w:t>
      </w:r>
    </w:p>
    <w:p w14:paraId="538EA9F3" w14:textId="77777777" w:rsidR="00884F82" w:rsidRDefault="00884F82" w:rsidP="00677DCA">
      <w:pPr>
        <w:rPr>
          <w:rFonts w:eastAsia="Times New Roman"/>
          <w:noProof/>
        </w:rPr>
      </w:pPr>
    </w:p>
    <w:p w14:paraId="231ABE40" w14:textId="77777777" w:rsidR="00C45F16" w:rsidRPr="00425FCB" w:rsidRDefault="00C45F16" w:rsidP="00677DCA">
      <w:pPr>
        <w:rPr>
          <w:rFonts w:eastAsia="Times New Roman"/>
          <w:noProof/>
        </w:rPr>
      </w:pPr>
    </w:p>
    <w:p w14:paraId="54015119" w14:textId="77777777" w:rsidR="00953EB4" w:rsidRPr="00766A03" w:rsidRDefault="00953EB4" w:rsidP="00BD4DA2">
      <w:pPr>
        <w:pBdr>
          <w:top w:val="single" w:sz="4" w:space="10" w:color="5B9BD5"/>
          <w:bottom w:val="single" w:sz="4" w:space="10" w:color="5B9BD5"/>
        </w:pBdr>
        <w:spacing w:before="360" w:after="360"/>
        <w:ind w:left="864" w:right="864"/>
        <w:jc w:val="center"/>
        <w:outlineLvl w:val="0"/>
        <w:rPr>
          <w:i/>
          <w:iCs/>
          <w:color w:val="5B9BD5"/>
        </w:rPr>
      </w:pPr>
      <w:bookmarkStart w:id="5" w:name="OLE_LINK20"/>
      <w:r w:rsidRPr="00766A03">
        <w:rPr>
          <w:i/>
          <w:iCs/>
          <w:color w:val="5B9BD5"/>
        </w:rPr>
        <w:t>STRUMENTI FINANZIARI DERIVATI</w:t>
      </w:r>
    </w:p>
    <w:p w14:paraId="51912098" w14:textId="77777777" w:rsidR="00C45F16" w:rsidRDefault="00C45F16" w:rsidP="00953EB4">
      <w:pPr>
        <w:rPr>
          <w:rFonts w:eastAsia="Times New Roman"/>
          <w:noProof/>
        </w:rPr>
      </w:pPr>
    </w:p>
    <w:p w14:paraId="479C525E" w14:textId="77777777" w:rsidR="00953EB4" w:rsidRPr="00425FCB" w:rsidRDefault="008C611B" w:rsidP="00953EB4">
      <w:pPr>
        <w:rPr>
          <w:rFonts w:eastAsia="Times New Roman"/>
          <w:noProof/>
        </w:rPr>
      </w:pPr>
      <w:r w:rsidRPr="00B37434">
        <w:rPr>
          <w:rFonts w:eastAsia="Times New Roman"/>
          <w:noProof/>
        </w:rPr>
        <w:t>N</w:t>
      </w:r>
      <w:r w:rsidR="00953EB4" w:rsidRPr="00B37434">
        <w:rPr>
          <w:rFonts w:eastAsia="Times New Roman"/>
          <w:noProof/>
        </w:rPr>
        <w:t xml:space="preserve">el bilancio </w:t>
      </w:r>
      <w:r w:rsidR="00AA3019" w:rsidRPr="00B37434">
        <w:rPr>
          <w:rFonts w:eastAsia="Times New Roman"/>
          <w:noProof/>
        </w:rPr>
        <w:t>2021</w:t>
      </w:r>
      <w:r w:rsidR="00BD4DA2" w:rsidRPr="00B37434">
        <w:rPr>
          <w:rFonts w:eastAsia="Times New Roman"/>
          <w:noProof/>
        </w:rPr>
        <w:t>-202</w:t>
      </w:r>
      <w:r w:rsidR="00AA3019" w:rsidRPr="00B37434">
        <w:rPr>
          <w:rFonts w:eastAsia="Times New Roman"/>
          <w:noProof/>
        </w:rPr>
        <w:t>3</w:t>
      </w:r>
      <w:r w:rsidR="00953EB4" w:rsidRPr="00B37434">
        <w:rPr>
          <w:rFonts w:eastAsia="Times New Roman"/>
          <w:noProof/>
        </w:rPr>
        <w:t xml:space="preserve"> </w:t>
      </w:r>
      <w:r w:rsidRPr="00B37434">
        <w:rPr>
          <w:rFonts w:eastAsia="Times New Roman"/>
          <w:noProof/>
        </w:rPr>
        <w:t xml:space="preserve">non sono previsti </w:t>
      </w:r>
      <w:r w:rsidR="00953EB4" w:rsidRPr="00B37434">
        <w:rPr>
          <w:rFonts w:eastAsia="Times New Roman"/>
          <w:noProof/>
        </w:rPr>
        <w:t>oneri derivanti da alcun contratto relativo a strumenti finanziari derivati o contratti di finanziamento che includano una componente derivata.</w:t>
      </w:r>
    </w:p>
    <w:bookmarkEnd w:id="5"/>
    <w:p w14:paraId="5310B03F" w14:textId="77777777" w:rsidR="00BC124F" w:rsidRDefault="00BC124F" w:rsidP="00677DCA">
      <w:pPr>
        <w:rPr>
          <w:rFonts w:eastAsia="Times New Roman"/>
          <w:noProof/>
        </w:rPr>
      </w:pPr>
    </w:p>
    <w:p w14:paraId="090B77FD" w14:textId="7FEB465F" w:rsidR="00876713" w:rsidRDefault="00876713">
      <w:r>
        <w:br w:type="page"/>
      </w:r>
    </w:p>
    <w:p w14:paraId="7FF79E6C" w14:textId="77777777" w:rsidR="00425B47" w:rsidRPr="00425B47" w:rsidRDefault="00425B47" w:rsidP="00425B47">
      <w:bookmarkStart w:id="6" w:name="_GoBack"/>
      <w:bookmarkEnd w:id="6"/>
    </w:p>
    <w:p w14:paraId="1806DFE2" w14:textId="77777777" w:rsidR="00425B47" w:rsidRPr="00425B47" w:rsidRDefault="00425B47" w:rsidP="00425B47">
      <w:pPr>
        <w:pBdr>
          <w:top w:val="single" w:sz="4" w:space="10" w:color="5B9BD5"/>
          <w:bottom w:val="single" w:sz="4" w:space="10" w:color="5B9BD5"/>
        </w:pBdr>
        <w:spacing w:before="360" w:after="360"/>
        <w:ind w:left="864" w:right="864"/>
        <w:jc w:val="center"/>
        <w:outlineLvl w:val="0"/>
        <w:rPr>
          <w:i/>
          <w:iCs/>
          <w:color w:val="5B9BD5"/>
          <w:lang w:val="x-none" w:eastAsia="x-none"/>
        </w:rPr>
      </w:pPr>
      <w:r w:rsidRPr="00425B47">
        <w:rPr>
          <w:i/>
          <w:iCs/>
          <w:color w:val="5B9BD5"/>
          <w:lang w:val="x-none" w:eastAsia="x-none"/>
        </w:rPr>
        <w:t>ENTI ED ORGANISMI STRUMENTALI</w:t>
      </w:r>
    </w:p>
    <w:p w14:paraId="5AC792B4" w14:textId="77777777" w:rsidR="00425B47" w:rsidRPr="00425B47" w:rsidRDefault="00425B47" w:rsidP="00425B47">
      <w:pPr>
        <w:outlineLvl w:val="0"/>
        <w:rPr>
          <w:b/>
          <w:sz w:val="22"/>
          <w:szCs w:val="22"/>
        </w:rPr>
      </w:pPr>
      <w:r w:rsidRPr="00425B47">
        <w:rPr>
          <w:b/>
          <w:sz w:val="22"/>
          <w:szCs w:val="22"/>
        </w:rPr>
        <w:t>CONSORZI</w:t>
      </w:r>
    </w:p>
    <w:p w14:paraId="3553E6AC" w14:textId="77777777" w:rsidR="00425B47" w:rsidRPr="00425B47" w:rsidRDefault="00425B47" w:rsidP="00425B47">
      <w:pPr>
        <w:rPr>
          <w:b/>
          <w:sz w:val="22"/>
          <w:szCs w:val="22"/>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3"/>
        <w:gridCol w:w="2410"/>
        <w:gridCol w:w="3877"/>
      </w:tblGrid>
      <w:tr w:rsidR="00E32016" w:rsidRPr="00425B47" w14:paraId="3C2C70BA" w14:textId="77777777" w:rsidTr="00C218B1">
        <w:trPr>
          <w:jc w:val="center"/>
        </w:trPr>
        <w:tc>
          <w:tcPr>
            <w:tcW w:w="3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C521CF" w14:textId="77777777" w:rsidR="00E32016" w:rsidRPr="00425B47" w:rsidRDefault="00E32016" w:rsidP="00425B47">
            <w:pPr>
              <w:jc w:val="center"/>
              <w:rPr>
                <w:b/>
                <w:i/>
                <w:sz w:val="22"/>
                <w:szCs w:val="22"/>
              </w:rPr>
            </w:pPr>
            <w:r w:rsidRPr="00425B47">
              <w:rPr>
                <w:b/>
                <w:i/>
                <w:sz w:val="22"/>
                <w:szCs w:val="22"/>
              </w:rPr>
              <w:t>Nome</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AEED6D" w14:textId="77777777" w:rsidR="00E32016" w:rsidRPr="00425B47" w:rsidRDefault="00E32016" w:rsidP="00425B47">
            <w:pPr>
              <w:jc w:val="center"/>
              <w:rPr>
                <w:b/>
                <w:i/>
                <w:sz w:val="22"/>
                <w:szCs w:val="22"/>
              </w:rPr>
            </w:pPr>
            <w:r w:rsidRPr="00425B47">
              <w:rPr>
                <w:b/>
                <w:i/>
                <w:sz w:val="22"/>
                <w:szCs w:val="22"/>
              </w:rPr>
              <w:t>Attività</w:t>
            </w:r>
          </w:p>
        </w:tc>
        <w:tc>
          <w:tcPr>
            <w:tcW w:w="3877" w:type="dxa"/>
            <w:tcBorders>
              <w:top w:val="single" w:sz="4" w:space="0" w:color="auto"/>
              <w:left w:val="single" w:sz="4" w:space="0" w:color="auto"/>
              <w:bottom w:val="single" w:sz="4" w:space="0" w:color="auto"/>
              <w:right w:val="single" w:sz="4" w:space="0" w:color="auto"/>
            </w:tcBorders>
            <w:shd w:val="clear" w:color="auto" w:fill="D9D9D9"/>
          </w:tcPr>
          <w:p w14:paraId="77DB893A" w14:textId="77777777" w:rsidR="00E32016" w:rsidRPr="00425B47" w:rsidRDefault="00E32016" w:rsidP="00425B47">
            <w:pPr>
              <w:jc w:val="center"/>
              <w:rPr>
                <w:b/>
                <w:i/>
                <w:sz w:val="22"/>
                <w:szCs w:val="22"/>
              </w:rPr>
            </w:pPr>
            <w:r w:rsidRPr="00425B47">
              <w:rPr>
                <w:b/>
                <w:i/>
                <w:sz w:val="22"/>
                <w:szCs w:val="22"/>
              </w:rPr>
              <w:t>Sito Internet di pubblicazione del bilancio</w:t>
            </w:r>
          </w:p>
        </w:tc>
      </w:tr>
      <w:tr w:rsidR="00E32016" w:rsidRPr="00425B47" w14:paraId="7C065C40" w14:textId="77777777" w:rsidTr="00C218B1">
        <w:trPr>
          <w:jc w:val="center"/>
        </w:trPr>
        <w:tc>
          <w:tcPr>
            <w:tcW w:w="3353" w:type="dxa"/>
            <w:tcBorders>
              <w:top w:val="single" w:sz="4" w:space="0" w:color="auto"/>
              <w:left w:val="single" w:sz="4" w:space="0" w:color="auto"/>
              <w:bottom w:val="single" w:sz="4" w:space="0" w:color="auto"/>
              <w:right w:val="single" w:sz="4" w:space="0" w:color="auto"/>
            </w:tcBorders>
            <w:vAlign w:val="center"/>
          </w:tcPr>
          <w:p w14:paraId="0FED76C0" w14:textId="6813A143" w:rsidR="00E32016" w:rsidRPr="00425B47" w:rsidRDefault="00E32016" w:rsidP="00425B47">
            <w:pPr>
              <w:rPr>
                <w:sz w:val="22"/>
                <w:szCs w:val="22"/>
              </w:rPr>
            </w:pPr>
            <w:r>
              <w:rPr>
                <w:sz w:val="22"/>
                <w:szCs w:val="22"/>
              </w:rPr>
              <w:t>Consorzio di Bacino Basso Novarese-CBBN</w:t>
            </w:r>
          </w:p>
        </w:tc>
        <w:tc>
          <w:tcPr>
            <w:tcW w:w="2410" w:type="dxa"/>
            <w:tcBorders>
              <w:top w:val="single" w:sz="4" w:space="0" w:color="auto"/>
              <w:left w:val="single" w:sz="4" w:space="0" w:color="auto"/>
              <w:bottom w:val="single" w:sz="4" w:space="0" w:color="auto"/>
              <w:right w:val="single" w:sz="4" w:space="0" w:color="auto"/>
            </w:tcBorders>
            <w:vAlign w:val="center"/>
          </w:tcPr>
          <w:p w14:paraId="23F15BCC" w14:textId="6B3A4F81" w:rsidR="00E32016" w:rsidRPr="00425B47" w:rsidRDefault="00E32016" w:rsidP="00425B47">
            <w:pPr>
              <w:rPr>
                <w:sz w:val="22"/>
                <w:szCs w:val="22"/>
              </w:rPr>
            </w:pPr>
            <w:r>
              <w:rPr>
                <w:sz w:val="22"/>
                <w:szCs w:val="22"/>
              </w:rPr>
              <w:t>Gestione dei rifiuti urbani</w:t>
            </w:r>
          </w:p>
        </w:tc>
        <w:tc>
          <w:tcPr>
            <w:tcW w:w="3877" w:type="dxa"/>
            <w:tcBorders>
              <w:top w:val="single" w:sz="4" w:space="0" w:color="auto"/>
              <w:left w:val="single" w:sz="4" w:space="0" w:color="auto"/>
              <w:bottom w:val="single" w:sz="4" w:space="0" w:color="auto"/>
              <w:right w:val="single" w:sz="4" w:space="0" w:color="auto"/>
            </w:tcBorders>
          </w:tcPr>
          <w:p w14:paraId="38C516BE" w14:textId="28C63B0F" w:rsidR="00E32016" w:rsidRPr="00425B47" w:rsidRDefault="009C4C1E" w:rsidP="00425B47">
            <w:pPr>
              <w:rPr>
                <w:sz w:val="22"/>
                <w:szCs w:val="22"/>
              </w:rPr>
            </w:pPr>
            <w:hyperlink r:id="rId18" w:history="1">
              <w:r w:rsidR="00C218B1" w:rsidRPr="008258F3">
                <w:rPr>
                  <w:rStyle w:val="Collegamentoipertestuale"/>
                  <w:sz w:val="22"/>
                  <w:szCs w:val="22"/>
                </w:rPr>
                <w:t>https://www.cbbn.it/</w:t>
              </w:r>
            </w:hyperlink>
          </w:p>
        </w:tc>
      </w:tr>
      <w:tr w:rsidR="00E32016" w:rsidRPr="00425B47" w14:paraId="691D862C" w14:textId="77777777" w:rsidTr="00C218B1">
        <w:trPr>
          <w:jc w:val="center"/>
        </w:trPr>
        <w:tc>
          <w:tcPr>
            <w:tcW w:w="3353" w:type="dxa"/>
            <w:tcBorders>
              <w:top w:val="single" w:sz="4" w:space="0" w:color="auto"/>
              <w:left w:val="single" w:sz="4" w:space="0" w:color="auto"/>
              <w:bottom w:val="single" w:sz="4" w:space="0" w:color="auto"/>
              <w:right w:val="single" w:sz="4" w:space="0" w:color="auto"/>
            </w:tcBorders>
            <w:vAlign w:val="center"/>
          </w:tcPr>
          <w:p w14:paraId="1B0DEC4D" w14:textId="548504F0" w:rsidR="00E32016" w:rsidRPr="00425B47" w:rsidRDefault="00C218B1" w:rsidP="00425B47">
            <w:pPr>
              <w:rPr>
                <w:sz w:val="22"/>
                <w:szCs w:val="22"/>
              </w:rPr>
            </w:pPr>
            <w:r>
              <w:rPr>
                <w:sz w:val="22"/>
                <w:szCs w:val="22"/>
              </w:rPr>
              <w:t>Consorzio CISA Ovest Ticino</w:t>
            </w:r>
          </w:p>
        </w:tc>
        <w:tc>
          <w:tcPr>
            <w:tcW w:w="2410" w:type="dxa"/>
            <w:tcBorders>
              <w:top w:val="single" w:sz="4" w:space="0" w:color="auto"/>
              <w:left w:val="single" w:sz="4" w:space="0" w:color="auto"/>
              <w:bottom w:val="single" w:sz="4" w:space="0" w:color="auto"/>
              <w:right w:val="single" w:sz="4" w:space="0" w:color="auto"/>
            </w:tcBorders>
            <w:vAlign w:val="center"/>
          </w:tcPr>
          <w:p w14:paraId="002F12EE" w14:textId="0C645420" w:rsidR="00E32016" w:rsidRPr="00425B47" w:rsidRDefault="00C218B1" w:rsidP="00425B47">
            <w:pPr>
              <w:rPr>
                <w:sz w:val="22"/>
                <w:szCs w:val="22"/>
              </w:rPr>
            </w:pPr>
            <w:r>
              <w:rPr>
                <w:sz w:val="22"/>
                <w:szCs w:val="22"/>
              </w:rPr>
              <w:t>Gestione dei servizi socio-assistenziali</w:t>
            </w:r>
          </w:p>
        </w:tc>
        <w:tc>
          <w:tcPr>
            <w:tcW w:w="3877" w:type="dxa"/>
            <w:tcBorders>
              <w:top w:val="single" w:sz="4" w:space="0" w:color="auto"/>
              <w:left w:val="single" w:sz="4" w:space="0" w:color="auto"/>
              <w:bottom w:val="single" w:sz="4" w:space="0" w:color="auto"/>
              <w:right w:val="single" w:sz="4" w:space="0" w:color="auto"/>
            </w:tcBorders>
          </w:tcPr>
          <w:p w14:paraId="7A31F1FE" w14:textId="30BDB14E" w:rsidR="00E32016" w:rsidRPr="00425B47" w:rsidRDefault="009C4C1E" w:rsidP="00425B47">
            <w:pPr>
              <w:rPr>
                <w:sz w:val="22"/>
                <w:szCs w:val="22"/>
              </w:rPr>
            </w:pPr>
            <w:hyperlink r:id="rId19" w:history="1">
              <w:r w:rsidR="00C218B1" w:rsidRPr="008258F3">
                <w:rPr>
                  <w:rStyle w:val="Collegamentoipertestuale"/>
                  <w:sz w:val="22"/>
                  <w:szCs w:val="22"/>
                </w:rPr>
                <w:t>https://www.cisaovesticino.it</w:t>
              </w:r>
            </w:hyperlink>
          </w:p>
        </w:tc>
      </w:tr>
    </w:tbl>
    <w:p w14:paraId="2CB12B37" w14:textId="77777777" w:rsidR="00425B47" w:rsidRPr="00425B47" w:rsidRDefault="00425B47" w:rsidP="00425B47">
      <w:pPr>
        <w:rPr>
          <w:b/>
          <w:sz w:val="22"/>
          <w:szCs w:val="22"/>
        </w:rPr>
      </w:pPr>
    </w:p>
    <w:p w14:paraId="23D39FAB" w14:textId="77777777" w:rsidR="00425B47" w:rsidRPr="00425B47" w:rsidRDefault="00425B47" w:rsidP="00425B47">
      <w:pPr>
        <w:rPr>
          <w:b/>
          <w:sz w:val="22"/>
          <w:szCs w:val="22"/>
        </w:rPr>
      </w:pPr>
    </w:p>
    <w:p w14:paraId="08A12FED" w14:textId="77777777" w:rsidR="00425B47" w:rsidRPr="00425B47" w:rsidRDefault="00425B47" w:rsidP="00425B47">
      <w:pPr>
        <w:outlineLvl w:val="0"/>
        <w:rPr>
          <w:b/>
          <w:sz w:val="22"/>
          <w:szCs w:val="22"/>
        </w:rPr>
      </w:pPr>
      <w:r w:rsidRPr="00425B47">
        <w:rPr>
          <w:b/>
          <w:sz w:val="22"/>
          <w:szCs w:val="22"/>
        </w:rPr>
        <w:t>SOCIETA’ DI CAPITALI</w:t>
      </w:r>
    </w:p>
    <w:p w14:paraId="2AB8518B" w14:textId="77777777" w:rsidR="00425B47" w:rsidRPr="00425B47" w:rsidRDefault="00425B47" w:rsidP="00425B47">
      <w:pPr>
        <w:rPr>
          <w:b/>
          <w:sz w:val="22"/>
          <w:szCs w:val="22"/>
        </w:rPr>
      </w:pP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701"/>
        <w:gridCol w:w="1701"/>
        <w:gridCol w:w="3990"/>
      </w:tblGrid>
      <w:tr w:rsidR="00425B47" w:rsidRPr="00425B47" w14:paraId="6D5A2C2D" w14:textId="77777777" w:rsidTr="00B37434">
        <w:trPr>
          <w:jc w:val="center"/>
        </w:trPr>
        <w:tc>
          <w:tcPr>
            <w:tcW w:w="26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C1D0F0B" w14:textId="77777777" w:rsidR="00425B47" w:rsidRPr="00425B47" w:rsidRDefault="00425B47" w:rsidP="00425B47">
            <w:pPr>
              <w:jc w:val="center"/>
              <w:rPr>
                <w:b/>
                <w:i/>
                <w:sz w:val="22"/>
                <w:szCs w:val="22"/>
              </w:rPr>
            </w:pPr>
            <w:bookmarkStart w:id="7" w:name="_Hlk63167626"/>
            <w:r w:rsidRPr="00425B47">
              <w:rPr>
                <w:b/>
                <w:i/>
                <w:sz w:val="22"/>
                <w:szCs w:val="22"/>
              </w:rPr>
              <w:t>Nome</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D71921" w14:textId="77777777" w:rsidR="00425B47" w:rsidRPr="00425B47" w:rsidRDefault="00425B47" w:rsidP="00425B47">
            <w:pPr>
              <w:jc w:val="center"/>
              <w:rPr>
                <w:b/>
                <w:i/>
                <w:sz w:val="22"/>
                <w:szCs w:val="22"/>
              </w:rPr>
            </w:pPr>
            <w:r w:rsidRPr="00425B47">
              <w:rPr>
                <w:b/>
                <w:i/>
                <w:sz w:val="22"/>
                <w:szCs w:val="22"/>
              </w:rPr>
              <w:t>Attività</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33EBAB7B" w14:textId="77777777" w:rsidR="00425B47" w:rsidRPr="00425B47" w:rsidRDefault="00425B47" w:rsidP="00425B47">
            <w:pPr>
              <w:jc w:val="center"/>
              <w:rPr>
                <w:b/>
                <w:i/>
                <w:sz w:val="22"/>
                <w:szCs w:val="22"/>
              </w:rPr>
            </w:pPr>
            <w:r w:rsidRPr="00425B47">
              <w:rPr>
                <w:b/>
                <w:i/>
                <w:sz w:val="22"/>
                <w:szCs w:val="22"/>
              </w:rPr>
              <w:t>Percentuale di partecipazione</w:t>
            </w:r>
          </w:p>
        </w:tc>
        <w:tc>
          <w:tcPr>
            <w:tcW w:w="3990" w:type="dxa"/>
            <w:tcBorders>
              <w:top w:val="single" w:sz="4" w:space="0" w:color="auto"/>
              <w:left w:val="single" w:sz="4" w:space="0" w:color="auto"/>
              <w:bottom w:val="single" w:sz="4" w:space="0" w:color="auto"/>
              <w:right w:val="single" w:sz="4" w:space="0" w:color="auto"/>
            </w:tcBorders>
            <w:shd w:val="clear" w:color="auto" w:fill="D9D9D9"/>
          </w:tcPr>
          <w:p w14:paraId="731E52C4" w14:textId="77777777" w:rsidR="00425B47" w:rsidRPr="00425B47" w:rsidRDefault="00425B47" w:rsidP="00425B47">
            <w:pPr>
              <w:jc w:val="center"/>
              <w:rPr>
                <w:b/>
                <w:i/>
                <w:sz w:val="22"/>
                <w:szCs w:val="22"/>
              </w:rPr>
            </w:pPr>
            <w:r w:rsidRPr="00425B47">
              <w:rPr>
                <w:b/>
                <w:i/>
                <w:sz w:val="22"/>
                <w:szCs w:val="22"/>
              </w:rPr>
              <w:t>Sito Internet di pubblicazione del bilancio</w:t>
            </w:r>
          </w:p>
        </w:tc>
      </w:tr>
      <w:tr w:rsidR="00425B47" w:rsidRPr="00425B47" w14:paraId="5700A607" w14:textId="77777777" w:rsidTr="00B37434">
        <w:trPr>
          <w:jc w:val="center"/>
        </w:trPr>
        <w:tc>
          <w:tcPr>
            <w:tcW w:w="2689" w:type="dxa"/>
            <w:tcBorders>
              <w:top w:val="single" w:sz="4" w:space="0" w:color="auto"/>
              <w:left w:val="single" w:sz="4" w:space="0" w:color="auto"/>
              <w:bottom w:val="single" w:sz="4" w:space="0" w:color="auto"/>
              <w:right w:val="single" w:sz="4" w:space="0" w:color="auto"/>
            </w:tcBorders>
            <w:vAlign w:val="center"/>
          </w:tcPr>
          <w:p w14:paraId="375DA7AB" w14:textId="417BFDA5" w:rsidR="00425B47" w:rsidRPr="00425B47" w:rsidRDefault="00C218B1" w:rsidP="00425B47">
            <w:pPr>
              <w:rPr>
                <w:sz w:val="22"/>
                <w:szCs w:val="22"/>
              </w:rPr>
            </w:pPr>
            <w:r>
              <w:rPr>
                <w:sz w:val="22"/>
                <w:szCs w:val="22"/>
              </w:rPr>
              <w:t>ACQUA NOVARA VCO S.P.A.</w:t>
            </w:r>
          </w:p>
        </w:tc>
        <w:tc>
          <w:tcPr>
            <w:tcW w:w="1701" w:type="dxa"/>
            <w:tcBorders>
              <w:top w:val="single" w:sz="4" w:space="0" w:color="auto"/>
              <w:left w:val="single" w:sz="4" w:space="0" w:color="auto"/>
              <w:bottom w:val="single" w:sz="4" w:space="0" w:color="auto"/>
              <w:right w:val="single" w:sz="4" w:space="0" w:color="auto"/>
            </w:tcBorders>
            <w:vAlign w:val="center"/>
          </w:tcPr>
          <w:p w14:paraId="1EF62590" w14:textId="70EB5FA9" w:rsidR="00425B47" w:rsidRPr="00425B47" w:rsidRDefault="00C218B1" w:rsidP="00425B47">
            <w:pPr>
              <w:rPr>
                <w:sz w:val="22"/>
                <w:szCs w:val="22"/>
              </w:rPr>
            </w:pPr>
            <w:r>
              <w:rPr>
                <w:sz w:val="22"/>
                <w:szCs w:val="22"/>
              </w:rPr>
              <w:t xml:space="preserve">Servizio idrico integrato </w:t>
            </w:r>
          </w:p>
        </w:tc>
        <w:tc>
          <w:tcPr>
            <w:tcW w:w="1701" w:type="dxa"/>
            <w:tcBorders>
              <w:top w:val="single" w:sz="4" w:space="0" w:color="auto"/>
              <w:left w:val="single" w:sz="4" w:space="0" w:color="auto"/>
              <w:bottom w:val="single" w:sz="4" w:space="0" w:color="auto"/>
              <w:right w:val="single" w:sz="4" w:space="0" w:color="auto"/>
            </w:tcBorders>
          </w:tcPr>
          <w:p w14:paraId="640BC201" w14:textId="15101709" w:rsidR="00425B47" w:rsidRPr="00425B47" w:rsidRDefault="00C218B1" w:rsidP="00425B47">
            <w:pPr>
              <w:rPr>
                <w:sz w:val="22"/>
                <w:szCs w:val="22"/>
              </w:rPr>
            </w:pPr>
            <w:r>
              <w:rPr>
                <w:sz w:val="22"/>
                <w:szCs w:val="22"/>
              </w:rPr>
              <w:t>0,02%</w:t>
            </w:r>
          </w:p>
        </w:tc>
        <w:tc>
          <w:tcPr>
            <w:tcW w:w="3990" w:type="dxa"/>
            <w:tcBorders>
              <w:top w:val="single" w:sz="4" w:space="0" w:color="auto"/>
              <w:left w:val="single" w:sz="4" w:space="0" w:color="auto"/>
              <w:bottom w:val="single" w:sz="4" w:space="0" w:color="auto"/>
              <w:right w:val="single" w:sz="4" w:space="0" w:color="auto"/>
            </w:tcBorders>
          </w:tcPr>
          <w:p w14:paraId="321E7F26" w14:textId="25DBB7DD" w:rsidR="00425B47" w:rsidRPr="00425B47" w:rsidRDefault="009C4C1E" w:rsidP="00425B47">
            <w:pPr>
              <w:rPr>
                <w:sz w:val="22"/>
                <w:szCs w:val="22"/>
              </w:rPr>
            </w:pPr>
            <w:hyperlink r:id="rId20" w:history="1">
              <w:r w:rsidR="00C218B1" w:rsidRPr="008258F3">
                <w:rPr>
                  <w:rStyle w:val="Collegamentoipertestuale"/>
                  <w:sz w:val="22"/>
                  <w:szCs w:val="22"/>
                </w:rPr>
                <w:t>https://www.acquanovaravco.eu</w:t>
              </w:r>
            </w:hyperlink>
          </w:p>
        </w:tc>
      </w:tr>
      <w:tr w:rsidR="00425B47" w:rsidRPr="00425B47" w14:paraId="7C74C184" w14:textId="77777777" w:rsidTr="00B37434">
        <w:trPr>
          <w:jc w:val="center"/>
        </w:trPr>
        <w:tc>
          <w:tcPr>
            <w:tcW w:w="2689" w:type="dxa"/>
            <w:tcBorders>
              <w:top w:val="single" w:sz="4" w:space="0" w:color="auto"/>
              <w:left w:val="single" w:sz="4" w:space="0" w:color="auto"/>
              <w:bottom w:val="single" w:sz="4" w:space="0" w:color="auto"/>
              <w:right w:val="single" w:sz="4" w:space="0" w:color="auto"/>
            </w:tcBorders>
            <w:vAlign w:val="center"/>
          </w:tcPr>
          <w:p w14:paraId="4EEE307C" w14:textId="04948C3E" w:rsidR="00425B47" w:rsidRPr="00425B47" w:rsidRDefault="00C218B1" w:rsidP="00425B47">
            <w:pPr>
              <w:rPr>
                <w:sz w:val="22"/>
                <w:szCs w:val="22"/>
              </w:rPr>
            </w:pPr>
            <w:r>
              <w:rPr>
                <w:sz w:val="22"/>
                <w:szCs w:val="22"/>
              </w:rPr>
              <w:t>AGENZIA ACCOGLIENZA E PROMOZIONE TURISTICA</w:t>
            </w:r>
            <w:r w:rsidR="00B37434">
              <w:rPr>
                <w:sz w:val="22"/>
                <w:szCs w:val="22"/>
              </w:rPr>
              <w:t xml:space="preserve"> LOCALE DELLA PROVINCIA DI NOVARA</w:t>
            </w:r>
          </w:p>
        </w:tc>
        <w:tc>
          <w:tcPr>
            <w:tcW w:w="1701" w:type="dxa"/>
            <w:tcBorders>
              <w:top w:val="single" w:sz="4" w:space="0" w:color="auto"/>
              <w:left w:val="single" w:sz="4" w:space="0" w:color="auto"/>
              <w:bottom w:val="single" w:sz="4" w:space="0" w:color="auto"/>
              <w:right w:val="single" w:sz="4" w:space="0" w:color="auto"/>
            </w:tcBorders>
            <w:vAlign w:val="center"/>
          </w:tcPr>
          <w:p w14:paraId="22C6EC00" w14:textId="6E499ADF" w:rsidR="00425B47" w:rsidRPr="00425B47" w:rsidRDefault="00C218B1" w:rsidP="00425B47">
            <w:pPr>
              <w:rPr>
                <w:sz w:val="22"/>
                <w:szCs w:val="22"/>
              </w:rPr>
            </w:pPr>
            <w:r>
              <w:rPr>
                <w:sz w:val="22"/>
                <w:szCs w:val="22"/>
              </w:rPr>
              <w:t>Promozione turistica</w:t>
            </w:r>
          </w:p>
        </w:tc>
        <w:tc>
          <w:tcPr>
            <w:tcW w:w="1701" w:type="dxa"/>
            <w:tcBorders>
              <w:top w:val="single" w:sz="4" w:space="0" w:color="auto"/>
              <w:left w:val="single" w:sz="4" w:space="0" w:color="auto"/>
              <w:bottom w:val="single" w:sz="4" w:space="0" w:color="auto"/>
              <w:right w:val="single" w:sz="4" w:space="0" w:color="auto"/>
            </w:tcBorders>
          </w:tcPr>
          <w:p w14:paraId="44588581" w14:textId="0834AC85" w:rsidR="00425B47" w:rsidRPr="00425B47" w:rsidRDefault="00C218B1" w:rsidP="00425B47">
            <w:pPr>
              <w:rPr>
                <w:sz w:val="22"/>
                <w:szCs w:val="22"/>
              </w:rPr>
            </w:pPr>
            <w:r>
              <w:rPr>
                <w:sz w:val="22"/>
                <w:szCs w:val="22"/>
              </w:rPr>
              <w:t>0,67%</w:t>
            </w:r>
          </w:p>
        </w:tc>
        <w:tc>
          <w:tcPr>
            <w:tcW w:w="3990" w:type="dxa"/>
            <w:tcBorders>
              <w:top w:val="single" w:sz="4" w:space="0" w:color="auto"/>
              <w:left w:val="single" w:sz="4" w:space="0" w:color="auto"/>
              <w:bottom w:val="single" w:sz="4" w:space="0" w:color="auto"/>
              <w:right w:val="single" w:sz="4" w:space="0" w:color="auto"/>
            </w:tcBorders>
          </w:tcPr>
          <w:p w14:paraId="130686F9" w14:textId="30A37579" w:rsidR="00425B47" w:rsidRPr="00425B47" w:rsidRDefault="009C4C1E" w:rsidP="00425B47">
            <w:pPr>
              <w:rPr>
                <w:sz w:val="22"/>
                <w:szCs w:val="22"/>
              </w:rPr>
            </w:pPr>
            <w:hyperlink r:id="rId21" w:history="1">
              <w:r w:rsidR="00C218B1" w:rsidRPr="008258F3">
                <w:rPr>
                  <w:rStyle w:val="Collegamentoipertestuale"/>
                  <w:sz w:val="22"/>
                  <w:szCs w:val="22"/>
                </w:rPr>
                <w:t>https://www.turismonovara.it</w:t>
              </w:r>
            </w:hyperlink>
          </w:p>
        </w:tc>
      </w:tr>
    </w:tbl>
    <w:p w14:paraId="3B97DA32" w14:textId="77777777" w:rsidR="00425B47" w:rsidRPr="00425B47" w:rsidRDefault="00425B47" w:rsidP="00425B47">
      <w:pPr>
        <w:pBdr>
          <w:top w:val="single" w:sz="4" w:space="10" w:color="5B9BD5"/>
          <w:bottom w:val="single" w:sz="4" w:space="10" w:color="5B9BD5"/>
        </w:pBdr>
        <w:spacing w:before="360" w:after="360"/>
        <w:ind w:left="864" w:right="864"/>
        <w:jc w:val="center"/>
        <w:outlineLvl w:val="0"/>
        <w:rPr>
          <w:i/>
          <w:iCs/>
          <w:color w:val="5B9BD5"/>
          <w:lang w:val="x-none" w:eastAsia="x-none"/>
        </w:rPr>
      </w:pPr>
      <w:bookmarkStart w:id="8" w:name="OLE_LINK24"/>
      <w:bookmarkEnd w:id="7"/>
      <w:r w:rsidRPr="00425B47">
        <w:rPr>
          <w:i/>
          <w:iCs/>
          <w:color w:val="5B9BD5"/>
          <w:lang w:val="x-none" w:eastAsia="x-none"/>
        </w:rPr>
        <w:t>PARTECIPAZIONI POSSEDUTE DALL’ENTE</w:t>
      </w:r>
    </w:p>
    <w:bookmarkEnd w:id="8"/>
    <w:p w14:paraId="4B9A727A" w14:textId="77777777" w:rsidR="00425B47" w:rsidRPr="00425B47" w:rsidRDefault="00425B47" w:rsidP="00425B47">
      <w:pPr>
        <w:rPr>
          <w:b/>
          <w:sz w:val="22"/>
          <w:szCs w:val="22"/>
        </w:rPr>
      </w:pPr>
    </w:p>
    <w:p w14:paraId="7F2682A4" w14:textId="77777777" w:rsidR="00425B47" w:rsidRPr="00425B47" w:rsidRDefault="00425B47" w:rsidP="00425B47">
      <w:pPr>
        <w:outlineLvl w:val="0"/>
        <w:rPr>
          <w:b/>
          <w:sz w:val="22"/>
          <w:szCs w:val="22"/>
        </w:rPr>
      </w:pPr>
      <w:r w:rsidRPr="00425B47">
        <w:rPr>
          <w:b/>
          <w:sz w:val="22"/>
          <w:szCs w:val="22"/>
        </w:rPr>
        <w:t xml:space="preserve">SOCIETA’ DI CAPITALI </w:t>
      </w:r>
    </w:p>
    <w:p w14:paraId="036EC2FF" w14:textId="77777777" w:rsidR="00425B47" w:rsidRPr="00425B47" w:rsidRDefault="00425B47" w:rsidP="00425B47">
      <w:pPr>
        <w:rPr>
          <w:b/>
          <w:sz w:val="22"/>
          <w:szCs w:val="22"/>
        </w:rPr>
      </w:pPr>
    </w:p>
    <w:tbl>
      <w:tblPr>
        <w:tblW w:w="9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0"/>
        <w:gridCol w:w="3402"/>
      </w:tblGrid>
      <w:tr w:rsidR="00425B47" w:rsidRPr="00425B47" w14:paraId="074CCD34" w14:textId="77777777" w:rsidTr="00B37434">
        <w:trPr>
          <w:jc w:val="center"/>
        </w:trPr>
        <w:tc>
          <w:tcPr>
            <w:tcW w:w="5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3B5607" w14:textId="77777777" w:rsidR="00425B47" w:rsidRPr="00425B47" w:rsidRDefault="00425B47" w:rsidP="00425B47">
            <w:pPr>
              <w:rPr>
                <w:b/>
                <w:i/>
                <w:sz w:val="22"/>
                <w:szCs w:val="22"/>
              </w:rPr>
            </w:pPr>
            <w:r w:rsidRPr="00425B47">
              <w:rPr>
                <w:b/>
                <w:i/>
                <w:sz w:val="22"/>
                <w:szCs w:val="22"/>
              </w:rPr>
              <w:t>Nome</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3E601685" w14:textId="77777777" w:rsidR="00425B47" w:rsidRPr="00425B47" w:rsidRDefault="00425B47" w:rsidP="00425B47">
            <w:pPr>
              <w:rPr>
                <w:b/>
                <w:i/>
                <w:sz w:val="22"/>
                <w:szCs w:val="22"/>
              </w:rPr>
            </w:pPr>
            <w:r w:rsidRPr="00425B47">
              <w:rPr>
                <w:b/>
                <w:i/>
                <w:sz w:val="22"/>
                <w:szCs w:val="22"/>
              </w:rPr>
              <w:t>Percentuale di partecipazione</w:t>
            </w:r>
          </w:p>
        </w:tc>
      </w:tr>
      <w:tr w:rsidR="00425B47" w:rsidRPr="00425B47" w14:paraId="5E79CD71" w14:textId="77777777" w:rsidTr="00B37434">
        <w:trPr>
          <w:jc w:val="center"/>
        </w:trPr>
        <w:tc>
          <w:tcPr>
            <w:tcW w:w="5680" w:type="dxa"/>
            <w:tcBorders>
              <w:top w:val="single" w:sz="4" w:space="0" w:color="auto"/>
              <w:left w:val="single" w:sz="4" w:space="0" w:color="auto"/>
              <w:bottom w:val="single" w:sz="4" w:space="0" w:color="auto"/>
              <w:right w:val="single" w:sz="4" w:space="0" w:color="auto"/>
            </w:tcBorders>
            <w:vAlign w:val="center"/>
          </w:tcPr>
          <w:p w14:paraId="2868F20C" w14:textId="55691448" w:rsidR="00425B47" w:rsidRPr="00425B47" w:rsidRDefault="00B37434" w:rsidP="00425B47">
            <w:pPr>
              <w:rPr>
                <w:sz w:val="22"/>
                <w:szCs w:val="22"/>
              </w:rPr>
            </w:pPr>
            <w:r>
              <w:rPr>
                <w:sz w:val="22"/>
                <w:szCs w:val="22"/>
              </w:rPr>
              <w:t>ACQUA NOVARA VCO S.P.A.</w:t>
            </w:r>
          </w:p>
        </w:tc>
        <w:tc>
          <w:tcPr>
            <w:tcW w:w="3402" w:type="dxa"/>
            <w:tcBorders>
              <w:top w:val="single" w:sz="4" w:space="0" w:color="auto"/>
              <w:left w:val="single" w:sz="4" w:space="0" w:color="auto"/>
              <w:bottom w:val="single" w:sz="4" w:space="0" w:color="auto"/>
              <w:right w:val="single" w:sz="4" w:space="0" w:color="auto"/>
            </w:tcBorders>
          </w:tcPr>
          <w:p w14:paraId="5D1A8C00" w14:textId="49D8FF9B" w:rsidR="00425B47" w:rsidRPr="00425B47" w:rsidRDefault="00B37434" w:rsidP="00425B47">
            <w:pPr>
              <w:rPr>
                <w:sz w:val="22"/>
                <w:szCs w:val="22"/>
              </w:rPr>
            </w:pPr>
            <w:r>
              <w:rPr>
                <w:sz w:val="22"/>
                <w:szCs w:val="22"/>
              </w:rPr>
              <w:t>0,02%</w:t>
            </w:r>
          </w:p>
        </w:tc>
      </w:tr>
      <w:tr w:rsidR="00B37434" w:rsidRPr="00425B47" w14:paraId="47B970AC" w14:textId="77777777" w:rsidTr="00B37434">
        <w:trPr>
          <w:jc w:val="center"/>
        </w:trPr>
        <w:tc>
          <w:tcPr>
            <w:tcW w:w="5680" w:type="dxa"/>
            <w:tcBorders>
              <w:top w:val="single" w:sz="4" w:space="0" w:color="auto"/>
              <w:left w:val="single" w:sz="4" w:space="0" w:color="auto"/>
              <w:bottom w:val="single" w:sz="4" w:space="0" w:color="auto"/>
              <w:right w:val="single" w:sz="4" w:space="0" w:color="auto"/>
            </w:tcBorders>
            <w:vAlign w:val="center"/>
          </w:tcPr>
          <w:p w14:paraId="01CB420B" w14:textId="763BA3F1" w:rsidR="00B37434" w:rsidRPr="00425B47" w:rsidRDefault="00B37434" w:rsidP="00B37434">
            <w:pPr>
              <w:rPr>
                <w:sz w:val="22"/>
                <w:szCs w:val="22"/>
              </w:rPr>
            </w:pPr>
            <w:r>
              <w:rPr>
                <w:sz w:val="22"/>
                <w:szCs w:val="22"/>
              </w:rPr>
              <w:t>AGENZIA ACCOGLIENZA E PROMOZIONE TURISTICA</w:t>
            </w:r>
          </w:p>
        </w:tc>
        <w:tc>
          <w:tcPr>
            <w:tcW w:w="3402" w:type="dxa"/>
            <w:tcBorders>
              <w:top w:val="single" w:sz="4" w:space="0" w:color="auto"/>
              <w:left w:val="single" w:sz="4" w:space="0" w:color="auto"/>
              <w:bottom w:val="single" w:sz="4" w:space="0" w:color="auto"/>
              <w:right w:val="single" w:sz="4" w:space="0" w:color="auto"/>
            </w:tcBorders>
          </w:tcPr>
          <w:p w14:paraId="6DB1593D" w14:textId="2D746086" w:rsidR="00B37434" w:rsidRPr="00425B47" w:rsidRDefault="00B37434" w:rsidP="00B37434">
            <w:pPr>
              <w:rPr>
                <w:sz w:val="22"/>
                <w:szCs w:val="22"/>
              </w:rPr>
            </w:pPr>
            <w:r>
              <w:rPr>
                <w:sz w:val="22"/>
                <w:szCs w:val="22"/>
              </w:rPr>
              <w:t>0,67%</w:t>
            </w:r>
          </w:p>
        </w:tc>
      </w:tr>
      <w:bookmarkEnd w:id="3"/>
      <w:bookmarkEnd w:id="4"/>
    </w:tbl>
    <w:p w14:paraId="1887FA87" w14:textId="77777777" w:rsidR="00425B47" w:rsidRPr="00425B47" w:rsidRDefault="00425B47" w:rsidP="00425B47">
      <w:pPr>
        <w:rPr>
          <w:sz w:val="22"/>
          <w:szCs w:val="22"/>
        </w:rPr>
      </w:pPr>
    </w:p>
    <w:sectPr w:rsidR="00425B47" w:rsidRPr="00425B47" w:rsidSect="00466CF4">
      <w:footerReference w:type="default" r:id="rId22"/>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8A260" w14:textId="77777777" w:rsidR="00951277" w:rsidRDefault="00951277" w:rsidP="00F26273">
      <w:r>
        <w:separator/>
      </w:r>
    </w:p>
  </w:endnote>
  <w:endnote w:type="continuationSeparator" w:id="0">
    <w:p w14:paraId="30F7FC15" w14:textId="77777777" w:rsidR="00951277" w:rsidRDefault="00951277" w:rsidP="00F26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BDBDF" w14:textId="77777777" w:rsidR="00E61816" w:rsidRDefault="00E61816">
    <w:pPr>
      <w:pStyle w:val="Pidipagina"/>
      <w:jc w:val="right"/>
    </w:pPr>
    <w:r>
      <w:fldChar w:fldCharType="begin"/>
    </w:r>
    <w:r>
      <w:instrText>PAGE   \* MERGEFORMAT</w:instrText>
    </w:r>
    <w:r>
      <w:fldChar w:fldCharType="separate"/>
    </w:r>
    <w:r w:rsidR="009C4C1E">
      <w:rPr>
        <w:noProof/>
      </w:rPr>
      <w:t>11</w:t>
    </w:r>
    <w:r>
      <w:fldChar w:fldCharType="end"/>
    </w:r>
  </w:p>
  <w:p w14:paraId="74BECF5A" w14:textId="77777777" w:rsidR="00E61816" w:rsidRDefault="00E618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E1EF1" w14:textId="77777777" w:rsidR="00951277" w:rsidRDefault="00951277" w:rsidP="00F26273">
      <w:r>
        <w:separator/>
      </w:r>
    </w:p>
  </w:footnote>
  <w:footnote w:type="continuationSeparator" w:id="0">
    <w:p w14:paraId="25A8E52C" w14:textId="77777777" w:rsidR="00951277" w:rsidRDefault="00951277" w:rsidP="00F262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A0FCD"/>
    <w:multiLevelType w:val="hybridMultilevel"/>
    <w:tmpl w:val="7526CD5E"/>
    <w:lvl w:ilvl="0" w:tplc="20942316">
      <w:start w:val="2018"/>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D92FCF"/>
    <w:multiLevelType w:val="hybridMultilevel"/>
    <w:tmpl w:val="539ABDA8"/>
    <w:lvl w:ilvl="0" w:tplc="79288560">
      <w:start w:val="2021"/>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054936"/>
    <w:multiLevelType w:val="hybridMultilevel"/>
    <w:tmpl w:val="E43C83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3F6503"/>
    <w:multiLevelType w:val="hybridMultilevel"/>
    <w:tmpl w:val="204ED852"/>
    <w:lvl w:ilvl="0" w:tplc="65D88FB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117EC0"/>
    <w:multiLevelType w:val="hybridMultilevel"/>
    <w:tmpl w:val="C7C0B612"/>
    <w:lvl w:ilvl="0" w:tplc="EA0A3CC8">
      <w:start w:val="2016"/>
      <w:numFmt w:val="bullet"/>
      <w:lvlText w:val="-"/>
      <w:lvlJc w:val="left"/>
      <w:pPr>
        <w:ind w:left="480" w:hanging="360"/>
      </w:pPr>
      <w:rPr>
        <w:rFonts w:ascii="Times New Roman" w:eastAsia="Times New Roman" w:hAnsi="Times New Roman" w:cs="Times New Roman" w:hint="default"/>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5" w15:restartNumberingAfterBreak="0">
    <w:nsid w:val="33B9724D"/>
    <w:multiLevelType w:val="hybridMultilevel"/>
    <w:tmpl w:val="4C0852D0"/>
    <w:lvl w:ilvl="0" w:tplc="0410000B">
      <w:start w:val="1"/>
      <w:numFmt w:val="bullet"/>
      <w:lvlText w:val=""/>
      <w:lvlJc w:val="left"/>
      <w:pPr>
        <w:ind w:left="1637" w:hanging="360"/>
      </w:pPr>
      <w:rPr>
        <w:rFonts w:ascii="Wingdings" w:hAnsi="Wingdings" w:hint="default"/>
      </w:rPr>
    </w:lvl>
    <w:lvl w:ilvl="1" w:tplc="04100003" w:tentative="1">
      <w:start w:val="1"/>
      <w:numFmt w:val="bullet"/>
      <w:lvlText w:val="o"/>
      <w:lvlJc w:val="left"/>
      <w:pPr>
        <w:ind w:left="2357" w:hanging="360"/>
      </w:pPr>
      <w:rPr>
        <w:rFonts w:ascii="Courier New" w:hAnsi="Courier New" w:cs="Courier New" w:hint="default"/>
      </w:rPr>
    </w:lvl>
    <w:lvl w:ilvl="2" w:tplc="04100005" w:tentative="1">
      <w:start w:val="1"/>
      <w:numFmt w:val="bullet"/>
      <w:lvlText w:val=""/>
      <w:lvlJc w:val="left"/>
      <w:pPr>
        <w:ind w:left="3077" w:hanging="360"/>
      </w:pPr>
      <w:rPr>
        <w:rFonts w:ascii="Wingdings" w:hAnsi="Wingdings" w:hint="default"/>
      </w:rPr>
    </w:lvl>
    <w:lvl w:ilvl="3" w:tplc="04100001" w:tentative="1">
      <w:start w:val="1"/>
      <w:numFmt w:val="bullet"/>
      <w:lvlText w:val=""/>
      <w:lvlJc w:val="left"/>
      <w:pPr>
        <w:ind w:left="3797" w:hanging="360"/>
      </w:pPr>
      <w:rPr>
        <w:rFonts w:ascii="Symbol" w:hAnsi="Symbol" w:hint="default"/>
      </w:rPr>
    </w:lvl>
    <w:lvl w:ilvl="4" w:tplc="04100003" w:tentative="1">
      <w:start w:val="1"/>
      <w:numFmt w:val="bullet"/>
      <w:lvlText w:val="o"/>
      <w:lvlJc w:val="left"/>
      <w:pPr>
        <w:ind w:left="4517" w:hanging="360"/>
      </w:pPr>
      <w:rPr>
        <w:rFonts w:ascii="Courier New" w:hAnsi="Courier New" w:cs="Courier New" w:hint="default"/>
      </w:rPr>
    </w:lvl>
    <w:lvl w:ilvl="5" w:tplc="04100005" w:tentative="1">
      <w:start w:val="1"/>
      <w:numFmt w:val="bullet"/>
      <w:lvlText w:val=""/>
      <w:lvlJc w:val="left"/>
      <w:pPr>
        <w:ind w:left="5237" w:hanging="360"/>
      </w:pPr>
      <w:rPr>
        <w:rFonts w:ascii="Wingdings" w:hAnsi="Wingdings" w:hint="default"/>
      </w:rPr>
    </w:lvl>
    <w:lvl w:ilvl="6" w:tplc="04100001" w:tentative="1">
      <w:start w:val="1"/>
      <w:numFmt w:val="bullet"/>
      <w:lvlText w:val=""/>
      <w:lvlJc w:val="left"/>
      <w:pPr>
        <w:ind w:left="5957" w:hanging="360"/>
      </w:pPr>
      <w:rPr>
        <w:rFonts w:ascii="Symbol" w:hAnsi="Symbol" w:hint="default"/>
      </w:rPr>
    </w:lvl>
    <w:lvl w:ilvl="7" w:tplc="04100003" w:tentative="1">
      <w:start w:val="1"/>
      <w:numFmt w:val="bullet"/>
      <w:lvlText w:val="o"/>
      <w:lvlJc w:val="left"/>
      <w:pPr>
        <w:ind w:left="6677" w:hanging="360"/>
      </w:pPr>
      <w:rPr>
        <w:rFonts w:ascii="Courier New" w:hAnsi="Courier New" w:cs="Courier New" w:hint="default"/>
      </w:rPr>
    </w:lvl>
    <w:lvl w:ilvl="8" w:tplc="04100005" w:tentative="1">
      <w:start w:val="1"/>
      <w:numFmt w:val="bullet"/>
      <w:lvlText w:val=""/>
      <w:lvlJc w:val="left"/>
      <w:pPr>
        <w:ind w:left="7397" w:hanging="360"/>
      </w:pPr>
      <w:rPr>
        <w:rFonts w:ascii="Wingdings" w:hAnsi="Wingdings" w:hint="default"/>
      </w:rPr>
    </w:lvl>
  </w:abstractNum>
  <w:abstractNum w:abstractNumId="6" w15:restartNumberingAfterBreak="0">
    <w:nsid w:val="430E2113"/>
    <w:multiLevelType w:val="hybridMultilevel"/>
    <w:tmpl w:val="021C4200"/>
    <w:lvl w:ilvl="0" w:tplc="F064E762">
      <w:start w:val="3"/>
      <w:numFmt w:val="decimal"/>
      <w:lvlText w:val="%1."/>
      <w:lvlJc w:val="left"/>
      <w:pPr>
        <w:ind w:left="1637" w:hanging="360"/>
      </w:pPr>
      <w:rPr>
        <w:rFonts w:ascii="Times New Roman" w:hAnsi="Times New Roman" w:cs="Times New Roman"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3C649F0"/>
    <w:multiLevelType w:val="hybridMultilevel"/>
    <w:tmpl w:val="D9FAEA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5644684"/>
    <w:multiLevelType w:val="hybridMultilevel"/>
    <w:tmpl w:val="0C9046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84B3AE7"/>
    <w:multiLevelType w:val="hybridMultilevel"/>
    <w:tmpl w:val="D4F071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6550BD"/>
    <w:multiLevelType w:val="hybridMultilevel"/>
    <w:tmpl w:val="8D6AC1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8AD055D"/>
    <w:multiLevelType w:val="hybridMultilevel"/>
    <w:tmpl w:val="69B0F4BA"/>
    <w:lvl w:ilvl="0" w:tplc="9D5A1A40">
      <w:start w:val="2017"/>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AB03C9"/>
    <w:multiLevelType w:val="hybridMultilevel"/>
    <w:tmpl w:val="B844B7AC"/>
    <w:lvl w:ilvl="0" w:tplc="F064E762">
      <w:start w:val="3"/>
      <w:numFmt w:val="decimal"/>
      <w:lvlText w:val="%1."/>
      <w:lvlJc w:val="left"/>
      <w:pPr>
        <w:ind w:left="1637" w:hanging="360"/>
      </w:pPr>
      <w:rPr>
        <w:rFonts w:ascii="Times New Roman" w:hAnsi="Times New Roman" w:cs="Times New Roman" w:hint="default"/>
        <w:b/>
        <w:sz w:val="24"/>
        <w:szCs w:val="24"/>
      </w:rPr>
    </w:lvl>
    <w:lvl w:ilvl="1" w:tplc="04100017">
      <w:start w:val="1"/>
      <w:numFmt w:val="lowerLetter"/>
      <w:lvlText w:val="%2)"/>
      <w:lvlJc w:val="left"/>
      <w:pPr>
        <w:ind w:left="1440" w:hanging="360"/>
      </w:pPr>
      <w:rPr>
        <w:strike w:val="0"/>
      </w:rPr>
    </w:lvl>
    <w:lvl w:ilvl="2" w:tplc="23E094A0">
      <w:start w:val="11"/>
      <w:numFmt w:val="decimal"/>
      <w:lvlText w:val="%3"/>
      <w:lvlJc w:val="left"/>
      <w:pPr>
        <w:ind w:left="2340" w:hanging="360"/>
      </w:pPr>
      <w:rPr>
        <w:rFonts w:hint="default"/>
      </w:rPr>
    </w:lvl>
    <w:lvl w:ilvl="3" w:tplc="0EF4FC84">
      <w:start w:val="1"/>
      <w:numFmt w:val="lowerLetter"/>
      <w:lvlText w:val="%4)"/>
      <w:lvlJc w:val="left"/>
      <w:pPr>
        <w:ind w:left="2880" w:hanging="360"/>
      </w:pPr>
      <w:rPr>
        <w:rFonts w:hint="default"/>
      </w:rPr>
    </w:lvl>
    <w:lvl w:ilvl="4" w:tplc="C61820EE">
      <w:start w:val="3"/>
      <w:numFmt w:val="decimal"/>
      <w:lvlText w:val="%5)"/>
      <w:lvlJc w:val="left"/>
      <w:pPr>
        <w:ind w:left="3600" w:hanging="360"/>
      </w:pPr>
      <w:rPr>
        <w:rFonts w:hint="default"/>
      </w:rPr>
    </w:lvl>
    <w:lvl w:ilvl="5" w:tplc="1486BE42">
      <w:start w:val="1"/>
      <w:numFmt w:val="upperLetter"/>
      <w:lvlText w:val="%6)"/>
      <w:lvlJc w:val="left"/>
      <w:pPr>
        <w:ind w:left="4500" w:hanging="360"/>
      </w:pPr>
      <w:rPr>
        <w:rFonts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C63EE2"/>
    <w:multiLevelType w:val="hybridMultilevel"/>
    <w:tmpl w:val="4B2A18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9BA24B2"/>
    <w:multiLevelType w:val="hybridMultilevel"/>
    <w:tmpl w:val="40686584"/>
    <w:lvl w:ilvl="0" w:tplc="332C763C">
      <w:start w:val="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EB75DC"/>
    <w:multiLevelType w:val="hybridMultilevel"/>
    <w:tmpl w:val="7254A48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13"/>
  </w:num>
  <w:num w:numId="4">
    <w:abstractNumId w:val="2"/>
  </w:num>
  <w:num w:numId="5">
    <w:abstractNumId w:val="9"/>
  </w:num>
  <w:num w:numId="6">
    <w:abstractNumId w:val="4"/>
  </w:num>
  <w:num w:numId="7">
    <w:abstractNumId w:val="3"/>
  </w:num>
  <w:num w:numId="8">
    <w:abstractNumId w:val="11"/>
  </w:num>
  <w:num w:numId="9">
    <w:abstractNumId w:val="15"/>
  </w:num>
  <w:num w:numId="10">
    <w:abstractNumId w:val="14"/>
  </w:num>
  <w:num w:numId="11">
    <w:abstractNumId w:val="0"/>
  </w:num>
  <w:num w:numId="12">
    <w:abstractNumId w:val="12"/>
  </w:num>
  <w:num w:numId="13">
    <w:abstractNumId w:val="6"/>
  </w:num>
  <w:num w:numId="14">
    <w:abstractNumId w:val="5"/>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0D"/>
    <w:rsid w:val="000031B8"/>
    <w:rsid w:val="00021513"/>
    <w:rsid w:val="0002765F"/>
    <w:rsid w:val="00033E5F"/>
    <w:rsid w:val="0004261E"/>
    <w:rsid w:val="00042FD5"/>
    <w:rsid w:val="00053DD7"/>
    <w:rsid w:val="00054C57"/>
    <w:rsid w:val="00060007"/>
    <w:rsid w:val="00063243"/>
    <w:rsid w:val="000670FC"/>
    <w:rsid w:val="0007352D"/>
    <w:rsid w:val="000746E6"/>
    <w:rsid w:val="00075A11"/>
    <w:rsid w:val="00077EBF"/>
    <w:rsid w:val="00077F52"/>
    <w:rsid w:val="00082BB2"/>
    <w:rsid w:val="00090F87"/>
    <w:rsid w:val="00093B3F"/>
    <w:rsid w:val="00094498"/>
    <w:rsid w:val="00095AF7"/>
    <w:rsid w:val="000A458F"/>
    <w:rsid w:val="000A5B96"/>
    <w:rsid w:val="000A6BBA"/>
    <w:rsid w:val="000B02C8"/>
    <w:rsid w:val="000B1DE6"/>
    <w:rsid w:val="000E0371"/>
    <w:rsid w:val="000E3DF3"/>
    <w:rsid w:val="000E456A"/>
    <w:rsid w:val="000F022F"/>
    <w:rsid w:val="000F45E7"/>
    <w:rsid w:val="000F538C"/>
    <w:rsid w:val="00107591"/>
    <w:rsid w:val="00110BF5"/>
    <w:rsid w:val="00111688"/>
    <w:rsid w:val="00114D2D"/>
    <w:rsid w:val="001161CB"/>
    <w:rsid w:val="00126A1B"/>
    <w:rsid w:val="00140F97"/>
    <w:rsid w:val="0014421C"/>
    <w:rsid w:val="00144A47"/>
    <w:rsid w:val="00145BFC"/>
    <w:rsid w:val="001614BE"/>
    <w:rsid w:val="001619E1"/>
    <w:rsid w:val="001705E8"/>
    <w:rsid w:val="00172B67"/>
    <w:rsid w:val="00174074"/>
    <w:rsid w:val="001810D7"/>
    <w:rsid w:val="00181D2C"/>
    <w:rsid w:val="001A2A09"/>
    <w:rsid w:val="001B0AD2"/>
    <w:rsid w:val="001C064D"/>
    <w:rsid w:val="001C40FD"/>
    <w:rsid w:val="001C5445"/>
    <w:rsid w:val="001D0B2B"/>
    <w:rsid w:val="001E271D"/>
    <w:rsid w:val="001E333A"/>
    <w:rsid w:val="001E501B"/>
    <w:rsid w:val="001F477B"/>
    <w:rsid w:val="001F530B"/>
    <w:rsid w:val="001F73B6"/>
    <w:rsid w:val="0020061B"/>
    <w:rsid w:val="002120EA"/>
    <w:rsid w:val="002167C5"/>
    <w:rsid w:val="00217148"/>
    <w:rsid w:val="00225DEE"/>
    <w:rsid w:val="00225F96"/>
    <w:rsid w:val="00234B8B"/>
    <w:rsid w:val="00250CB4"/>
    <w:rsid w:val="0025771F"/>
    <w:rsid w:val="00263D8D"/>
    <w:rsid w:val="002748C6"/>
    <w:rsid w:val="0028270D"/>
    <w:rsid w:val="00284DB6"/>
    <w:rsid w:val="0028534D"/>
    <w:rsid w:val="002921B1"/>
    <w:rsid w:val="0029703D"/>
    <w:rsid w:val="002B3ABB"/>
    <w:rsid w:val="002B4F6A"/>
    <w:rsid w:val="002B738D"/>
    <w:rsid w:val="002B7999"/>
    <w:rsid w:val="002C0FAB"/>
    <w:rsid w:val="002C43A5"/>
    <w:rsid w:val="002C63AC"/>
    <w:rsid w:val="002C72D4"/>
    <w:rsid w:val="002D19B7"/>
    <w:rsid w:val="002D487F"/>
    <w:rsid w:val="002D5A0D"/>
    <w:rsid w:val="002D72BA"/>
    <w:rsid w:val="002F44C2"/>
    <w:rsid w:val="002F4B47"/>
    <w:rsid w:val="002F533B"/>
    <w:rsid w:val="00311ECC"/>
    <w:rsid w:val="00312233"/>
    <w:rsid w:val="00322A95"/>
    <w:rsid w:val="0032447D"/>
    <w:rsid w:val="00325976"/>
    <w:rsid w:val="00330C14"/>
    <w:rsid w:val="00341774"/>
    <w:rsid w:val="00347C70"/>
    <w:rsid w:val="00350704"/>
    <w:rsid w:val="00360CD0"/>
    <w:rsid w:val="00364943"/>
    <w:rsid w:val="00370E9D"/>
    <w:rsid w:val="00372181"/>
    <w:rsid w:val="003742B4"/>
    <w:rsid w:val="00380E58"/>
    <w:rsid w:val="003937BD"/>
    <w:rsid w:val="0039677D"/>
    <w:rsid w:val="00396BCD"/>
    <w:rsid w:val="003A37D7"/>
    <w:rsid w:val="003A6AAC"/>
    <w:rsid w:val="003A6B12"/>
    <w:rsid w:val="003B4FB9"/>
    <w:rsid w:val="003B796B"/>
    <w:rsid w:val="003C52FE"/>
    <w:rsid w:val="003D1447"/>
    <w:rsid w:val="003D1A3E"/>
    <w:rsid w:val="003D55CE"/>
    <w:rsid w:val="003D5F6D"/>
    <w:rsid w:val="003D6DB9"/>
    <w:rsid w:val="003D7464"/>
    <w:rsid w:val="003E13E7"/>
    <w:rsid w:val="003E16C9"/>
    <w:rsid w:val="003E6716"/>
    <w:rsid w:val="003F0241"/>
    <w:rsid w:val="003F234C"/>
    <w:rsid w:val="003F46DB"/>
    <w:rsid w:val="003F770D"/>
    <w:rsid w:val="004034E6"/>
    <w:rsid w:val="0041129B"/>
    <w:rsid w:val="00413039"/>
    <w:rsid w:val="00413444"/>
    <w:rsid w:val="00425B47"/>
    <w:rsid w:val="00425FCB"/>
    <w:rsid w:val="00426034"/>
    <w:rsid w:val="00431D19"/>
    <w:rsid w:val="00441B55"/>
    <w:rsid w:val="00446B37"/>
    <w:rsid w:val="00466CF4"/>
    <w:rsid w:val="00475AD9"/>
    <w:rsid w:val="00476C9D"/>
    <w:rsid w:val="004957B1"/>
    <w:rsid w:val="0049634E"/>
    <w:rsid w:val="004A00D8"/>
    <w:rsid w:val="004A11E4"/>
    <w:rsid w:val="004A4F1B"/>
    <w:rsid w:val="004B7AC2"/>
    <w:rsid w:val="004D0ACF"/>
    <w:rsid w:val="004D3941"/>
    <w:rsid w:val="004D6BA7"/>
    <w:rsid w:val="004E66B4"/>
    <w:rsid w:val="005013E9"/>
    <w:rsid w:val="0050223C"/>
    <w:rsid w:val="0050312C"/>
    <w:rsid w:val="00503E81"/>
    <w:rsid w:val="00504B72"/>
    <w:rsid w:val="00506952"/>
    <w:rsid w:val="00512558"/>
    <w:rsid w:val="005126F1"/>
    <w:rsid w:val="005271A8"/>
    <w:rsid w:val="00530F09"/>
    <w:rsid w:val="00531E44"/>
    <w:rsid w:val="00533A93"/>
    <w:rsid w:val="005351B4"/>
    <w:rsid w:val="00547E81"/>
    <w:rsid w:val="00554C52"/>
    <w:rsid w:val="00561F7C"/>
    <w:rsid w:val="00582589"/>
    <w:rsid w:val="0058406E"/>
    <w:rsid w:val="005A0D05"/>
    <w:rsid w:val="005A6E38"/>
    <w:rsid w:val="005B1611"/>
    <w:rsid w:val="005B16B7"/>
    <w:rsid w:val="005B4F9E"/>
    <w:rsid w:val="005B6C80"/>
    <w:rsid w:val="005C5AA6"/>
    <w:rsid w:val="005C7F46"/>
    <w:rsid w:val="005D4E91"/>
    <w:rsid w:val="005D56B8"/>
    <w:rsid w:val="005D6B81"/>
    <w:rsid w:val="005E69C3"/>
    <w:rsid w:val="005E769A"/>
    <w:rsid w:val="00603FA8"/>
    <w:rsid w:val="00605C51"/>
    <w:rsid w:val="0061571F"/>
    <w:rsid w:val="00624927"/>
    <w:rsid w:val="00634DA8"/>
    <w:rsid w:val="00635C92"/>
    <w:rsid w:val="00636C43"/>
    <w:rsid w:val="0064235A"/>
    <w:rsid w:val="006453DE"/>
    <w:rsid w:val="006538C2"/>
    <w:rsid w:val="0066744C"/>
    <w:rsid w:val="00671B62"/>
    <w:rsid w:val="00672CE4"/>
    <w:rsid w:val="00677DCA"/>
    <w:rsid w:val="00683B70"/>
    <w:rsid w:val="00685D61"/>
    <w:rsid w:val="00686AC6"/>
    <w:rsid w:val="00694498"/>
    <w:rsid w:val="006B2FB3"/>
    <w:rsid w:val="006C007B"/>
    <w:rsid w:val="006C04DE"/>
    <w:rsid w:val="006C33DD"/>
    <w:rsid w:val="006C524D"/>
    <w:rsid w:val="006C74D3"/>
    <w:rsid w:val="006D6D25"/>
    <w:rsid w:val="006F355C"/>
    <w:rsid w:val="007107B5"/>
    <w:rsid w:val="00710BD6"/>
    <w:rsid w:val="007113D8"/>
    <w:rsid w:val="00714B99"/>
    <w:rsid w:val="00717578"/>
    <w:rsid w:val="00722E68"/>
    <w:rsid w:val="00746B48"/>
    <w:rsid w:val="00751AE4"/>
    <w:rsid w:val="00754139"/>
    <w:rsid w:val="0075588A"/>
    <w:rsid w:val="00766A03"/>
    <w:rsid w:val="00767E74"/>
    <w:rsid w:val="00770FC3"/>
    <w:rsid w:val="007835A4"/>
    <w:rsid w:val="00784C65"/>
    <w:rsid w:val="007873CC"/>
    <w:rsid w:val="00790BC9"/>
    <w:rsid w:val="00791720"/>
    <w:rsid w:val="00797AA8"/>
    <w:rsid w:val="00797B97"/>
    <w:rsid w:val="007A1C2D"/>
    <w:rsid w:val="007A2843"/>
    <w:rsid w:val="007B1281"/>
    <w:rsid w:val="007B4653"/>
    <w:rsid w:val="007B4A63"/>
    <w:rsid w:val="007C132E"/>
    <w:rsid w:val="007C160C"/>
    <w:rsid w:val="007C419D"/>
    <w:rsid w:val="007C7281"/>
    <w:rsid w:val="007D02F0"/>
    <w:rsid w:val="007D35BF"/>
    <w:rsid w:val="007D4058"/>
    <w:rsid w:val="007D5027"/>
    <w:rsid w:val="007E0529"/>
    <w:rsid w:val="007E05D2"/>
    <w:rsid w:val="007E4694"/>
    <w:rsid w:val="007F13DD"/>
    <w:rsid w:val="007F5326"/>
    <w:rsid w:val="00804836"/>
    <w:rsid w:val="00812F5F"/>
    <w:rsid w:val="008149E0"/>
    <w:rsid w:val="008151C6"/>
    <w:rsid w:val="00822E79"/>
    <w:rsid w:val="00824095"/>
    <w:rsid w:val="008243AF"/>
    <w:rsid w:val="00840E7D"/>
    <w:rsid w:val="008510EC"/>
    <w:rsid w:val="008519AC"/>
    <w:rsid w:val="00866917"/>
    <w:rsid w:val="00872880"/>
    <w:rsid w:val="00872CFD"/>
    <w:rsid w:val="00876469"/>
    <w:rsid w:val="00876713"/>
    <w:rsid w:val="00877A0E"/>
    <w:rsid w:val="008830AE"/>
    <w:rsid w:val="0088351A"/>
    <w:rsid w:val="00884942"/>
    <w:rsid w:val="00884F82"/>
    <w:rsid w:val="00886695"/>
    <w:rsid w:val="008872CB"/>
    <w:rsid w:val="0089391A"/>
    <w:rsid w:val="00895F66"/>
    <w:rsid w:val="008A1525"/>
    <w:rsid w:val="008B21A7"/>
    <w:rsid w:val="008B390C"/>
    <w:rsid w:val="008B3DA9"/>
    <w:rsid w:val="008B5E22"/>
    <w:rsid w:val="008C611B"/>
    <w:rsid w:val="008C6D2F"/>
    <w:rsid w:val="008D14EA"/>
    <w:rsid w:val="008D2CC3"/>
    <w:rsid w:val="008E5A15"/>
    <w:rsid w:val="008F1819"/>
    <w:rsid w:val="008F3EDF"/>
    <w:rsid w:val="008F7814"/>
    <w:rsid w:val="008F798D"/>
    <w:rsid w:val="00905487"/>
    <w:rsid w:val="009104E1"/>
    <w:rsid w:val="00921A51"/>
    <w:rsid w:val="00924AD9"/>
    <w:rsid w:val="00924BBC"/>
    <w:rsid w:val="00940961"/>
    <w:rsid w:val="009448D1"/>
    <w:rsid w:val="00947A61"/>
    <w:rsid w:val="00951277"/>
    <w:rsid w:val="00953EB4"/>
    <w:rsid w:val="00954E39"/>
    <w:rsid w:val="009561D6"/>
    <w:rsid w:val="00957F5C"/>
    <w:rsid w:val="009630A5"/>
    <w:rsid w:val="00972AA6"/>
    <w:rsid w:val="00973341"/>
    <w:rsid w:val="009911A8"/>
    <w:rsid w:val="00996B52"/>
    <w:rsid w:val="009B0E78"/>
    <w:rsid w:val="009B48E6"/>
    <w:rsid w:val="009C02E3"/>
    <w:rsid w:val="009C199F"/>
    <w:rsid w:val="009C38E7"/>
    <w:rsid w:val="009C3ABB"/>
    <w:rsid w:val="009C4C1E"/>
    <w:rsid w:val="009C514A"/>
    <w:rsid w:val="009D2784"/>
    <w:rsid w:val="009E0515"/>
    <w:rsid w:val="009E5F29"/>
    <w:rsid w:val="009F287E"/>
    <w:rsid w:val="009F4861"/>
    <w:rsid w:val="00A105E4"/>
    <w:rsid w:val="00A12A8F"/>
    <w:rsid w:val="00A14425"/>
    <w:rsid w:val="00A15598"/>
    <w:rsid w:val="00A160D7"/>
    <w:rsid w:val="00A2592E"/>
    <w:rsid w:val="00A32D79"/>
    <w:rsid w:val="00A34DB2"/>
    <w:rsid w:val="00A45E6A"/>
    <w:rsid w:val="00A46E07"/>
    <w:rsid w:val="00A51D3C"/>
    <w:rsid w:val="00A56978"/>
    <w:rsid w:val="00A60804"/>
    <w:rsid w:val="00A62D2C"/>
    <w:rsid w:val="00A70CFA"/>
    <w:rsid w:val="00A70E3C"/>
    <w:rsid w:val="00A721E3"/>
    <w:rsid w:val="00A8080D"/>
    <w:rsid w:val="00A80E1D"/>
    <w:rsid w:val="00A8643F"/>
    <w:rsid w:val="00A94C92"/>
    <w:rsid w:val="00AA172D"/>
    <w:rsid w:val="00AA3019"/>
    <w:rsid w:val="00AA695B"/>
    <w:rsid w:val="00AB0ADA"/>
    <w:rsid w:val="00AC36DA"/>
    <w:rsid w:val="00AC4744"/>
    <w:rsid w:val="00AC5B35"/>
    <w:rsid w:val="00B1714B"/>
    <w:rsid w:val="00B21C11"/>
    <w:rsid w:val="00B220BF"/>
    <w:rsid w:val="00B309A2"/>
    <w:rsid w:val="00B31DAC"/>
    <w:rsid w:val="00B37434"/>
    <w:rsid w:val="00B40CE7"/>
    <w:rsid w:val="00B625C4"/>
    <w:rsid w:val="00B642C2"/>
    <w:rsid w:val="00B758AE"/>
    <w:rsid w:val="00B86341"/>
    <w:rsid w:val="00B8680C"/>
    <w:rsid w:val="00B96387"/>
    <w:rsid w:val="00BB2523"/>
    <w:rsid w:val="00BC0D36"/>
    <w:rsid w:val="00BC124F"/>
    <w:rsid w:val="00BD144D"/>
    <w:rsid w:val="00BD4DA2"/>
    <w:rsid w:val="00BE48F0"/>
    <w:rsid w:val="00BE6B7E"/>
    <w:rsid w:val="00BF435B"/>
    <w:rsid w:val="00BF51A8"/>
    <w:rsid w:val="00BF59B4"/>
    <w:rsid w:val="00BF5AC3"/>
    <w:rsid w:val="00BF5D4C"/>
    <w:rsid w:val="00BF6142"/>
    <w:rsid w:val="00C02E02"/>
    <w:rsid w:val="00C07646"/>
    <w:rsid w:val="00C1122B"/>
    <w:rsid w:val="00C11CA0"/>
    <w:rsid w:val="00C20BE6"/>
    <w:rsid w:val="00C218B1"/>
    <w:rsid w:val="00C23D42"/>
    <w:rsid w:val="00C31F5E"/>
    <w:rsid w:val="00C34166"/>
    <w:rsid w:val="00C3497D"/>
    <w:rsid w:val="00C45F16"/>
    <w:rsid w:val="00C516D8"/>
    <w:rsid w:val="00C51EBE"/>
    <w:rsid w:val="00C54876"/>
    <w:rsid w:val="00C55182"/>
    <w:rsid w:val="00C572F5"/>
    <w:rsid w:val="00C637D2"/>
    <w:rsid w:val="00C65437"/>
    <w:rsid w:val="00C861CF"/>
    <w:rsid w:val="00C94B67"/>
    <w:rsid w:val="00CA1068"/>
    <w:rsid w:val="00CA1B4D"/>
    <w:rsid w:val="00CB17F9"/>
    <w:rsid w:val="00CB37DA"/>
    <w:rsid w:val="00CC072A"/>
    <w:rsid w:val="00CC570D"/>
    <w:rsid w:val="00CC65D9"/>
    <w:rsid w:val="00CD45BB"/>
    <w:rsid w:val="00CD497D"/>
    <w:rsid w:val="00CD6A34"/>
    <w:rsid w:val="00CD6DC5"/>
    <w:rsid w:val="00CE383A"/>
    <w:rsid w:val="00CE53C8"/>
    <w:rsid w:val="00CE6F6A"/>
    <w:rsid w:val="00CF374C"/>
    <w:rsid w:val="00CF51DD"/>
    <w:rsid w:val="00CF5429"/>
    <w:rsid w:val="00CF67FF"/>
    <w:rsid w:val="00CF7877"/>
    <w:rsid w:val="00CF790F"/>
    <w:rsid w:val="00D07C8F"/>
    <w:rsid w:val="00D12BAA"/>
    <w:rsid w:val="00D15535"/>
    <w:rsid w:val="00D16CC8"/>
    <w:rsid w:val="00D25B97"/>
    <w:rsid w:val="00D40F5C"/>
    <w:rsid w:val="00D42F44"/>
    <w:rsid w:val="00D440B8"/>
    <w:rsid w:val="00D567B2"/>
    <w:rsid w:val="00D632F5"/>
    <w:rsid w:val="00D63A27"/>
    <w:rsid w:val="00D6686F"/>
    <w:rsid w:val="00D67F2D"/>
    <w:rsid w:val="00D73220"/>
    <w:rsid w:val="00D75AF0"/>
    <w:rsid w:val="00DB5174"/>
    <w:rsid w:val="00DB7991"/>
    <w:rsid w:val="00DC034E"/>
    <w:rsid w:val="00DC193B"/>
    <w:rsid w:val="00DD76D5"/>
    <w:rsid w:val="00DE0208"/>
    <w:rsid w:val="00DE1D5E"/>
    <w:rsid w:val="00DE3EDB"/>
    <w:rsid w:val="00DE5D43"/>
    <w:rsid w:val="00DF544E"/>
    <w:rsid w:val="00E2239D"/>
    <w:rsid w:val="00E234B6"/>
    <w:rsid w:val="00E27503"/>
    <w:rsid w:val="00E30602"/>
    <w:rsid w:val="00E310D3"/>
    <w:rsid w:val="00E32016"/>
    <w:rsid w:val="00E3621B"/>
    <w:rsid w:val="00E3688F"/>
    <w:rsid w:val="00E5684F"/>
    <w:rsid w:val="00E61816"/>
    <w:rsid w:val="00E62537"/>
    <w:rsid w:val="00E66FC8"/>
    <w:rsid w:val="00E73599"/>
    <w:rsid w:val="00E874FE"/>
    <w:rsid w:val="00E8793F"/>
    <w:rsid w:val="00E90956"/>
    <w:rsid w:val="00E96B35"/>
    <w:rsid w:val="00E97D16"/>
    <w:rsid w:val="00EA2202"/>
    <w:rsid w:val="00EA235C"/>
    <w:rsid w:val="00EB3934"/>
    <w:rsid w:val="00EC1A61"/>
    <w:rsid w:val="00EC6B7B"/>
    <w:rsid w:val="00ED27E8"/>
    <w:rsid w:val="00ED3B37"/>
    <w:rsid w:val="00EE574A"/>
    <w:rsid w:val="00EE7737"/>
    <w:rsid w:val="00EE7D82"/>
    <w:rsid w:val="00EF2D67"/>
    <w:rsid w:val="00EF3593"/>
    <w:rsid w:val="00EF6908"/>
    <w:rsid w:val="00F0575C"/>
    <w:rsid w:val="00F06944"/>
    <w:rsid w:val="00F14931"/>
    <w:rsid w:val="00F233D9"/>
    <w:rsid w:val="00F25436"/>
    <w:rsid w:val="00F26273"/>
    <w:rsid w:val="00F26E7E"/>
    <w:rsid w:val="00F3027D"/>
    <w:rsid w:val="00F37D09"/>
    <w:rsid w:val="00F5120F"/>
    <w:rsid w:val="00F54818"/>
    <w:rsid w:val="00F633BC"/>
    <w:rsid w:val="00F679DC"/>
    <w:rsid w:val="00F72CC6"/>
    <w:rsid w:val="00F82DEA"/>
    <w:rsid w:val="00F92A7F"/>
    <w:rsid w:val="00F947F2"/>
    <w:rsid w:val="00F96FE1"/>
    <w:rsid w:val="00F97015"/>
    <w:rsid w:val="00FA2968"/>
    <w:rsid w:val="00FA370A"/>
    <w:rsid w:val="00FA58C0"/>
    <w:rsid w:val="00FB0A66"/>
    <w:rsid w:val="00FB0F57"/>
    <w:rsid w:val="00FB2C56"/>
    <w:rsid w:val="00FB6121"/>
    <w:rsid w:val="00FB7299"/>
    <w:rsid w:val="00FE1291"/>
    <w:rsid w:val="00FE50E7"/>
    <w:rsid w:val="00FF18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765350"/>
  <w15:chartTrackingRefBased/>
  <w15:docId w15:val="{F407CAAD-FBD3-407C-9AD7-2C98DD3FD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284DB6"/>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fondochiaro-Colore21">
    <w:name w:val="Sfondo chiaro - Colore 21"/>
    <w:basedOn w:val="Normale"/>
    <w:next w:val="Normale"/>
    <w:link w:val="Sfondochiaro-Colore2Carattere"/>
    <w:uiPriority w:val="60"/>
    <w:qFormat/>
    <w:rsid w:val="00F26273"/>
    <w:pPr>
      <w:pBdr>
        <w:top w:val="single" w:sz="4" w:space="10" w:color="5B9BD5"/>
        <w:bottom w:val="single" w:sz="4" w:space="10" w:color="5B9BD5"/>
      </w:pBdr>
      <w:spacing w:before="360" w:after="360"/>
      <w:ind w:left="864" w:right="864"/>
      <w:jc w:val="center"/>
    </w:pPr>
    <w:rPr>
      <w:i/>
      <w:iCs/>
      <w:color w:val="5B9BD5"/>
      <w:lang w:val="x-none" w:eastAsia="x-none"/>
    </w:rPr>
  </w:style>
  <w:style w:type="character" w:customStyle="1" w:styleId="Sfondochiaro-Colore2Carattere">
    <w:name w:val="Sfondo chiaro - Colore 2 Carattere"/>
    <w:link w:val="Sfondochiaro-Colore21"/>
    <w:uiPriority w:val="60"/>
    <w:rsid w:val="00F26273"/>
    <w:rPr>
      <w:i/>
      <w:iCs/>
      <w:color w:val="5B9BD5"/>
      <w:sz w:val="24"/>
      <w:szCs w:val="24"/>
    </w:rPr>
  </w:style>
  <w:style w:type="paragraph" w:styleId="Intestazione">
    <w:name w:val="header"/>
    <w:basedOn w:val="Normale"/>
    <w:link w:val="IntestazioneCarattere"/>
    <w:uiPriority w:val="99"/>
    <w:unhideWhenUsed/>
    <w:rsid w:val="00F26273"/>
    <w:pPr>
      <w:tabs>
        <w:tab w:val="center" w:pos="4986"/>
        <w:tab w:val="right" w:pos="9972"/>
      </w:tabs>
    </w:pPr>
    <w:rPr>
      <w:lang w:val="x-none" w:eastAsia="x-none"/>
    </w:rPr>
  </w:style>
  <w:style w:type="character" w:customStyle="1" w:styleId="IntestazioneCarattere">
    <w:name w:val="Intestazione Carattere"/>
    <w:link w:val="Intestazione"/>
    <w:uiPriority w:val="99"/>
    <w:rsid w:val="00F26273"/>
    <w:rPr>
      <w:sz w:val="24"/>
      <w:szCs w:val="24"/>
    </w:rPr>
  </w:style>
  <w:style w:type="paragraph" w:styleId="Pidipagina">
    <w:name w:val="footer"/>
    <w:basedOn w:val="Normale"/>
    <w:link w:val="PidipaginaCarattere"/>
    <w:uiPriority w:val="99"/>
    <w:unhideWhenUsed/>
    <w:rsid w:val="00F26273"/>
    <w:pPr>
      <w:tabs>
        <w:tab w:val="center" w:pos="4986"/>
        <w:tab w:val="right" w:pos="9972"/>
      </w:tabs>
    </w:pPr>
    <w:rPr>
      <w:lang w:val="x-none" w:eastAsia="x-none"/>
    </w:rPr>
  </w:style>
  <w:style w:type="character" w:customStyle="1" w:styleId="PidipaginaCarattere">
    <w:name w:val="Piè di pagina Carattere"/>
    <w:link w:val="Pidipagina"/>
    <w:uiPriority w:val="99"/>
    <w:rsid w:val="00F26273"/>
    <w:rPr>
      <w:sz w:val="24"/>
      <w:szCs w:val="24"/>
    </w:rPr>
  </w:style>
  <w:style w:type="paragraph" w:customStyle="1" w:styleId="Normale0">
    <w:name w:val="[Normale]"/>
    <w:basedOn w:val="Normale"/>
    <w:rsid w:val="001614B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imes New Roman" w:hAnsi="Arial" w:cs="Arial"/>
      <w:noProof/>
    </w:rPr>
  </w:style>
  <w:style w:type="character" w:styleId="Enfasigrassetto">
    <w:name w:val="Strong"/>
    <w:qFormat/>
    <w:rsid w:val="00503E81"/>
    <w:rPr>
      <w:b/>
      <w:bCs/>
    </w:rPr>
  </w:style>
  <w:style w:type="paragraph" w:customStyle="1" w:styleId="Default">
    <w:name w:val="Default"/>
    <w:rsid w:val="00503E81"/>
    <w:pPr>
      <w:autoSpaceDE w:val="0"/>
      <w:autoSpaceDN w:val="0"/>
      <w:adjustRightInd w:val="0"/>
    </w:pPr>
    <w:rPr>
      <w:rFonts w:ascii="Arial" w:eastAsia="Times New Roman" w:hAnsi="Arial" w:cs="Arial"/>
      <w:color w:val="000000"/>
      <w:sz w:val="24"/>
      <w:szCs w:val="24"/>
    </w:rPr>
  </w:style>
  <w:style w:type="table" w:styleId="Grigliatabella">
    <w:name w:val="Table Grid"/>
    <w:basedOn w:val="Tabellanormale"/>
    <w:uiPriority w:val="59"/>
    <w:rsid w:val="00CE3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72CFD"/>
    <w:rPr>
      <w:rFonts w:ascii="Segoe UI" w:hAnsi="Segoe UI"/>
      <w:sz w:val="18"/>
      <w:szCs w:val="18"/>
      <w:lang w:val="x-none" w:eastAsia="x-none"/>
    </w:rPr>
  </w:style>
  <w:style w:type="character" w:customStyle="1" w:styleId="TestofumettoCarattere">
    <w:name w:val="Testo fumetto Carattere"/>
    <w:link w:val="Testofumetto"/>
    <w:uiPriority w:val="99"/>
    <w:semiHidden/>
    <w:rsid w:val="00872CFD"/>
    <w:rPr>
      <w:rFonts w:ascii="Segoe UI" w:hAnsi="Segoe UI" w:cs="Segoe UI"/>
      <w:sz w:val="18"/>
      <w:szCs w:val="18"/>
    </w:rPr>
  </w:style>
  <w:style w:type="paragraph" w:styleId="NormaleWeb">
    <w:name w:val="Normal (Web)"/>
    <w:basedOn w:val="Normale"/>
    <w:uiPriority w:val="99"/>
    <w:semiHidden/>
    <w:unhideWhenUsed/>
    <w:rsid w:val="00996B52"/>
    <w:rPr>
      <w:rFonts w:ascii="Times New Roman" w:hAnsi="Times New Roman"/>
    </w:rPr>
  </w:style>
  <w:style w:type="paragraph" w:styleId="Paragrafoelenco">
    <w:name w:val="List Paragraph"/>
    <w:basedOn w:val="Normale"/>
    <w:uiPriority w:val="63"/>
    <w:qFormat/>
    <w:rsid w:val="00F14931"/>
    <w:pPr>
      <w:ind w:left="720"/>
      <w:contextualSpacing/>
    </w:pPr>
  </w:style>
  <w:style w:type="character" w:styleId="Collegamentoipertestuale">
    <w:name w:val="Hyperlink"/>
    <w:basedOn w:val="Carpredefinitoparagrafo"/>
    <w:uiPriority w:val="99"/>
    <w:unhideWhenUsed/>
    <w:rsid w:val="00C218B1"/>
    <w:rPr>
      <w:color w:val="0563C1" w:themeColor="hyperlink"/>
      <w:u w:val="single"/>
    </w:rPr>
  </w:style>
  <w:style w:type="character" w:customStyle="1" w:styleId="UnresolvedMention">
    <w:name w:val="Unresolved Mention"/>
    <w:basedOn w:val="Carpredefinitoparagrafo"/>
    <w:uiPriority w:val="99"/>
    <w:semiHidden/>
    <w:unhideWhenUsed/>
    <w:rsid w:val="00C218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4659">
      <w:bodyDiv w:val="1"/>
      <w:marLeft w:val="0"/>
      <w:marRight w:val="0"/>
      <w:marTop w:val="0"/>
      <w:marBottom w:val="0"/>
      <w:divBdr>
        <w:top w:val="none" w:sz="0" w:space="0" w:color="auto"/>
        <w:left w:val="none" w:sz="0" w:space="0" w:color="auto"/>
        <w:bottom w:val="none" w:sz="0" w:space="0" w:color="auto"/>
        <w:right w:val="none" w:sz="0" w:space="0" w:color="auto"/>
      </w:divBdr>
    </w:div>
    <w:div w:id="154955014">
      <w:bodyDiv w:val="1"/>
      <w:marLeft w:val="0"/>
      <w:marRight w:val="0"/>
      <w:marTop w:val="0"/>
      <w:marBottom w:val="0"/>
      <w:divBdr>
        <w:top w:val="none" w:sz="0" w:space="0" w:color="auto"/>
        <w:left w:val="none" w:sz="0" w:space="0" w:color="auto"/>
        <w:bottom w:val="none" w:sz="0" w:space="0" w:color="auto"/>
        <w:right w:val="none" w:sz="0" w:space="0" w:color="auto"/>
      </w:divBdr>
    </w:div>
    <w:div w:id="265694837">
      <w:bodyDiv w:val="1"/>
      <w:marLeft w:val="0"/>
      <w:marRight w:val="0"/>
      <w:marTop w:val="0"/>
      <w:marBottom w:val="0"/>
      <w:divBdr>
        <w:top w:val="none" w:sz="0" w:space="0" w:color="auto"/>
        <w:left w:val="none" w:sz="0" w:space="0" w:color="auto"/>
        <w:bottom w:val="none" w:sz="0" w:space="0" w:color="auto"/>
        <w:right w:val="none" w:sz="0" w:space="0" w:color="auto"/>
      </w:divBdr>
    </w:div>
    <w:div w:id="266157671">
      <w:bodyDiv w:val="1"/>
      <w:marLeft w:val="0"/>
      <w:marRight w:val="0"/>
      <w:marTop w:val="0"/>
      <w:marBottom w:val="0"/>
      <w:divBdr>
        <w:top w:val="none" w:sz="0" w:space="0" w:color="auto"/>
        <w:left w:val="none" w:sz="0" w:space="0" w:color="auto"/>
        <w:bottom w:val="none" w:sz="0" w:space="0" w:color="auto"/>
        <w:right w:val="none" w:sz="0" w:space="0" w:color="auto"/>
      </w:divBdr>
    </w:div>
    <w:div w:id="275675549">
      <w:bodyDiv w:val="1"/>
      <w:marLeft w:val="0"/>
      <w:marRight w:val="0"/>
      <w:marTop w:val="0"/>
      <w:marBottom w:val="0"/>
      <w:divBdr>
        <w:top w:val="none" w:sz="0" w:space="0" w:color="auto"/>
        <w:left w:val="none" w:sz="0" w:space="0" w:color="auto"/>
        <w:bottom w:val="none" w:sz="0" w:space="0" w:color="auto"/>
        <w:right w:val="none" w:sz="0" w:space="0" w:color="auto"/>
      </w:divBdr>
    </w:div>
    <w:div w:id="341594226">
      <w:bodyDiv w:val="1"/>
      <w:marLeft w:val="0"/>
      <w:marRight w:val="0"/>
      <w:marTop w:val="0"/>
      <w:marBottom w:val="0"/>
      <w:divBdr>
        <w:top w:val="none" w:sz="0" w:space="0" w:color="auto"/>
        <w:left w:val="none" w:sz="0" w:space="0" w:color="auto"/>
        <w:bottom w:val="none" w:sz="0" w:space="0" w:color="auto"/>
        <w:right w:val="none" w:sz="0" w:space="0" w:color="auto"/>
      </w:divBdr>
    </w:div>
    <w:div w:id="386993885">
      <w:bodyDiv w:val="1"/>
      <w:marLeft w:val="0"/>
      <w:marRight w:val="0"/>
      <w:marTop w:val="0"/>
      <w:marBottom w:val="0"/>
      <w:divBdr>
        <w:top w:val="none" w:sz="0" w:space="0" w:color="auto"/>
        <w:left w:val="none" w:sz="0" w:space="0" w:color="auto"/>
        <w:bottom w:val="none" w:sz="0" w:space="0" w:color="auto"/>
        <w:right w:val="none" w:sz="0" w:space="0" w:color="auto"/>
      </w:divBdr>
    </w:div>
    <w:div w:id="421683175">
      <w:bodyDiv w:val="1"/>
      <w:marLeft w:val="0"/>
      <w:marRight w:val="0"/>
      <w:marTop w:val="0"/>
      <w:marBottom w:val="0"/>
      <w:divBdr>
        <w:top w:val="none" w:sz="0" w:space="0" w:color="auto"/>
        <w:left w:val="none" w:sz="0" w:space="0" w:color="auto"/>
        <w:bottom w:val="none" w:sz="0" w:space="0" w:color="auto"/>
        <w:right w:val="none" w:sz="0" w:space="0" w:color="auto"/>
      </w:divBdr>
    </w:div>
    <w:div w:id="464737672">
      <w:bodyDiv w:val="1"/>
      <w:marLeft w:val="0"/>
      <w:marRight w:val="0"/>
      <w:marTop w:val="0"/>
      <w:marBottom w:val="0"/>
      <w:divBdr>
        <w:top w:val="none" w:sz="0" w:space="0" w:color="auto"/>
        <w:left w:val="none" w:sz="0" w:space="0" w:color="auto"/>
        <w:bottom w:val="none" w:sz="0" w:space="0" w:color="auto"/>
        <w:right w:val="none" w:sz="0" w:space="0" w:color="auto"/>
      </w:divBdr>
    </w:div>
    <w:div w:id="488375025">
      <w:bodyDiv w:val="1"/>
      <w:marLeft w:val="0"/>
      <w:marRight w:val="0"/>
      <w:marTop w:val="0"/>
      <w:marBottom w:val="0"/>
      <w:divBdr>
        <w:top w:val="none" w:sz="0" w:space="0" w:color="auto"/>
        <w:left w:val="none" w:sz="0" w:space="0" w:color="auto"/>
        <w:bottom w:val="none" w:sz="0" w:space="0" w:color="auto"/>
        <w:right w:val="none" w:sz="0" w:space="0" w:color="auto"/>
      </w:divBdr>
    </w:div>
    <w:div w:id="589041749">
      <w:bodyDiv w:val="1"/>
      <w:marLeft w:val="0"/>
      <w:marRight w:val="0"/>
      <w:marTop w:val="0"/>
      <w:marBottom w:val="0"/>
      <w:divBdr>
        <w:top w:val="none" w:sz="0" w:space="0" w:color="auto"/>
        <w:left w:val="none" w:sz="0" w:space="0" w:color="auto"/>
        <w:bottom w:val="none" w:sz="0" w:space="0" w:color="auto"/>
        <w:right w:val="none" w:sz="0" w:space="0" w:color="auto"/>
      </w:divBdr>
    </w:div>
    <w:div w:id="656421690">
      <w:bodyDiv w:val="1"/>
      <w:marLeft w:val="0"/>
      <w:marRight w:val="0"/>
      <w:marTop w:val="0"/>
      <w:marBottom w:val="0"/>
      <w:divBdr>
        <w:top w:val="none" w:sz="0" w:space="0" w:color="auto"/>
        <w:left w:val="none" w:sz="0" w:space="0" w:color="auto"/>
        <w:bottom w:val="none" w:sz="0" w:space="0" w:color="auto"/>
        <w:right w:val="none" w:sz="0" w:space="0" w:color="auto"/>
      </w:divBdr>
    </w:div>
    <w:div w:id="668752789">
      <w:bodyDiv w:val="1"/>
      <w:marLeft w:val="0"/>
      <w:marRight w:val="0"/>
      <w:marTop w:val="0"/>
      <w:marBottom w:val="0"/>
      <w:divBdr>
        <w:top w:val="none" w:sz="0" w:space="0" w:color="auto"/>
        <w:left w:val="none" w:sz="0" w:space="0" w:color="auto"/>
        <w:bottom w:val="none" w:sz="0" w:space="0" w:color="auto"/>
        <w:right w:val="none" w:sz="0" w:space="0" w:color="auto"/>
      </w:divBdr>
    </w:div>
    <w:div w:id="761220949">
      <w:bodyDiv w:val="1"/>
      <w:marLeft w:val="0"/>
      <w:marRight w:val="0"/>
      <w:marTop w:val="0"/>
      <w:marBottom w:val="0"/>
      <w:divBdr>
        <w:top w:val="none" w:sz="0" w:space="0" w:color="auto"/>
        <w:left w:val="none" w:sz="0" w:space="0" w:color="auto"/>
        <w:bottom w:val="none" w:sz="0" w:space="0" w:color="auto"/>
        <w:right w:val="none" w:sz="0" w:space="0" w:color="auto"/>
      </w:divBdr>
    </w:div>
    <w:div w:id="779030587">
      <w:bodyDiv w:val="1"/>
      <w:marLeft w:val="0"/>
      <w:marRight w:val="0"/>
      <w:marTop w:val="0"/>
      <w:marBottom w:val="0"/>
      <w:divBdr>
        <w:top w:val="none" w:sz="0" w:space="0" w:color="auto"/>
        <w:left w:val="none" w:sz="0" w:space="0" w:color="auto"/>
        <w:bottom w:val="none" w:sz="0" w:space="0" w:color="auto"/>
        <w:right w:val="none" w:sz="0" w:space="0" w:color="auto"/>
      </w:divBdr>
    </w:div>
    <w:div w:id="796803925">
      <w:bodyDiv w:val="1"/>
      <w:marLeft w:val="0"/>
      <w:marRight w:val="0"/>
      <w:marTop w:val="0"/>
      <w:marBottom w:val="0"/>
      <w:divBdr>
        <w:top w:val="none" w:sz="0" w:space="0" w:color="auto"/>
        <w:left w:val="none" w:sz="0" w:space="0" w:color="auto"/>
        <w:bottom w:val="none" w:sz="0" w:space="0" w:color="auto"/>
        <w:right w:val="none" w:sz="0" w:space="0" w:color="auto"/>
      </w:divBdr>
    </w:div>
    <w:div w:id="1080636582">
      <w:bodyDiv w:val="1"/>
      <w:marLeft w:val="0"/>
      <w:marRight w:val="0"/>
      <w:marTop w:val="0"/>
      <w:marBottom w:val="0"/>
      <w:divBdr>
        <w:top w:val="none" w:sz="0" w:space="0" w:color="auto"/>
        <w:left w:val="none" w:sz="0" w:space="0" w:color="auto"/>
        <w:bottom w:val="none" w:sz="0" w:space="0" w:color="auto"/>
        <w:right w:val="none" w:sz="0" w:space="0" w:color="auto"/>
      </w:divBdr>
    </w:div>
    <w:div w:id="1126704123">
      <w:bodyDiv w:val="1"/>
      <w:marLeft w:val="0"/>
      <w:marRight w:val="0"/>
      <w:marTop w:val="0"/>
      <w:marBottom w:val="0"/>
      <w:divBdr>
        <w:top w:val="none" w:sz="0" w:space="0" w:color="auto"/>
        <w:left w:val="none" w:sz="0" w:space="0" w:color="auto"/>
        <w:bottom w:val="none" w:sz="0" w:space="0" w:color="auto"/>
        <w:right w:val="none" w:sz="0" w:space="0" w:color="auto"/>
      </w:divBdr>
    </w:div>
    <w:div w:id="1275673044">
      <w:bodyDiv w:val="1"/>
      <w:marLeft w:val="0"/>
      <w:marRight w:val="0"/>
      <w:marTop w:val="0"/>
      <w:marBottom w:val="0"/>
      <w:divBdr>
        <w:top w:val="none" w:sz="0" w:space="0" w:color="auto"/>
        <w:left w:val="none" w:sz="0" w:space="0" w:color="auto"/>
        <w:bottom w:val="none" w:sz="0" w:space="0" w:color="auto"/>
        <w:right w:val="none" w:sz="0" w:space="0" w:color="auto"/>
      </w:divBdr>
    </w:div>
    <w:div w:id="1361394557">
      <w:bodyDiv w:val="1"/>
      <w:marLeft w:val="0"/>
      <w:marRight w:val="0"/>
      <w:marTop w:val="0"/>
      <w:marBottom w:val="0"/>
      <w:divBdr>
        <w:top w:val="none" w:sz="0" w:space="0" w:color="auto"/>
        <w:left w:val="none" w:sz="0" w:space="0" w:color="auto"/>
        <w:bottom w:val="none" w:sz="0" w:space="0" w:color="auto"/>
        <w:right w:val="none" w:sz="0" w:space="0" w:color="auto"/>
      </w:divBdr>
    </w:div>
    <w:div w:id="1426223309">
      <w:bodyDiv w:val="1"/>
      <w:marLeft w:val="0"/>
      <w:marRight w:val="0"/>
      <w:marTop w:val="0"/>
      <w:marBottom w:val="0"/>
      <w:divBdr>
        <w:top w:val="none" w:sz="0" w:space="0" w:color="auto"/>
        <w:left w:val="none" w:sz="0" w:space="0" w:color="auto"/>
        <w:bottom w:val="none" w:sz="0" w:space="0" w:color="auto"/>
        <w:right w:val="none" w:sz="0" w:space="0" w:color="auto"/>
      </w:divBdr>
    </w:div>
    <w:div w:id="1430008178">
      <w:bodyDiv w:val="1"/>
      <w:marLeft w:val="0"/>
      <w:marRight w:val="0"/>
      <w:marTop w:val="0"/>
      <w:marBottom w:val="0"/>
      <w:divBdr>
        <w:top w:val="none" w:sz="0" w:space="0" w:color="auto"/>
        <w:left w:val="none" w:sz="0" w:space="0" w:color="auto"/>
        <w:bottom w:val="none" w:sz="0" w:space="0" w:color="auto"/>
        <w:right w:val="none" w:sz="0" w:space="0" w:color="auto"/>
      </w:divBdr>
    </w:div>
    <w:div w:id="1609503488">
      <w:bodyDiv w:val="1"/>
      <w:marLeft w:val="0"/>
      <w:marRight w:val="0"/>
      <w:marTop w:val="0"/>
      <w:marBottom w:val="0"/>
      <w:divBdr>
        <w:top w:val="none" w:sz="0" w:space="0" w:color="auto"/>
        <w:left w:val="none" w:sz="0" w:space="0" w:color="auto"/>
        <w:bottom w:val="none" w:sz="0" w:space="0" w:color="auto"/>
        <w:right w:val="none" w:sz="0" w:space="0" w:color="auto"/>
      </w:divBdr>
    </w:div>
    <w:div w:id="1733772176">
      <w:bodyDiv w:val="1"/>
      <w:marLeft w:val="0"/>
      <w:marRight w:val="0"/>
      <w:marTop w:val="0"/>
      <w:marBottom w:val="0"/>
      <w:divBdr>
        <w:top w:val="none" w:sz="0" w:space="0" w:color="auto"/>
        <w:left w:val="none" w:sz="0" w:space="0" w:color="auto"/>
        <w:bottom w:val="none" w:sz="0" w:space="0" w:color="auto"/>
        <w:right w:val="none" w:sz="0" w:space="0" w:color="auto"/>
      </w:divBdr>
    </w:div>
    <w:div w:id="1746686637">
      <w:bodyDiv w:val="1"/>
      <w:marLeft w:val="0"/>
      <w:marRight w:val="0"/>
      <w:marTop w:val="0"/>
      <w:marBottom w:val="0"/>
      <w:divBdr>
        <w:top w:val="none" w:sz="0" w:space="0" w:color="auto"/>
        <w:left w:val="none" w:sz="0" w:space="0" w:color="auto"/>
        <w:bottom w:val="none" w:sz="0" w:space="0" w:color="auto"/>
        <w:right w:val="none" w:sz="0" w:space="0" w:color="auto"/>
      </w:divBdr>
    </w:div>
    <w:div w:id="1774476134">
      <w:bodyDiv w:val="1"/>
      <w:marLeft w:val="0"/>
      <w:marRight w:val="0"/>
      <w:marTop w:val="0"/>
      <w:marBottom w:val="0"/>
      <w:divBdr>
        <w:top w:val="none" w:sz="0" w:space="0" w:color="auto"/>
        <w:left w:val="none" w:sz="0" w:space="0" w:color="auto"/>
        <w:bottom w:val="none" w:sz="0" w:space="0" w:color="auto"/>
        <w:right w:val="none" w:sz="0" w:space="0" w:color="auto"/>
      </w:divBdr>
    </w:div>
    <w:div w:id="1814058725">
      <w:bodyDiv w:val="1"/>
      <w:marLeft w:val="0"/>
      <w:marRight w:val="0"/>
      <w:marTop w:val="0"/>
      <w:marBottom w:val="0"/>
      <w:divBdr>
        <w:top w:val="none" w:sz="0" w:space="0" w:color="auto"/>
        <w:left w:val="none" w:sz="0" w:space="0" w:color="auto"/>
        <w:bottom w:val="none" w:sz="0" w:space="0" w:color="auto"/>
        <w:right w:val="none" w:sz="0" w:space="0" w:color="auto"/>
      </w:divBdr>
    </w:div>
    <w:div w:id="1848327898">
      <w:bodyDiv w:val="1"/>
      <w:marLeft w:val="0"/>
      <w:marRight w:val="0"/>
      <w:marTop w:val="0"/>
      <w:marBottom w:val="0"/>
      <w:divBdr>
        <w:top w:val="none" w:sz="0" w:space="0" w:color="auto"/>
        <w:left w:val="none" w:sz="0" w:space="0" w:color="auto"/>
        <w:bottom w:val="none" w:sz="0" w:space="0" w:color="auto"/>
        <w:right w:val="none" w:sz="0" w:space="0" w:color="auto"/>
      </w:divBdr>
    </w:div>
    <w:div w:id="1992055453">
      <w:bodyDiv w:val="1"/>
      <w:marLeft w:val="0"/>
      <w:marRight w:val="0"/>
      <w:marTop w:val="0"/>
      <w:marBottom w:val="0"/>
      <w:divBdr>
        <w:top w:val="none" w:sz="0" w:space="0" w:color="auto"/>
        <w:left w:val="none" w:sz="0" w:space="0" w:color="auto"/>
        <w:bottom w:val="none" w:sz="0" w:space="0" w:color="auto"/>
        <w:right w:val="none" w:sz="0" w:space="0" w:color="auto"/>
      </w:divBdr>
    </w:div>
    <w:div w:id="1996445444">
      <w:bodyDiv w:val="1"/>
      <w:marLeft w:val="0"/>
      <w:marRight w:val="0"/>
      <w:marTop w:val="0"/>
      <w:marBottom w:val="0"/>
      <w:divBdr>
        <w:top w:val="none" w:sz="0" w:space="0" w:color="auto"/>
        <w:left w:val="none" w:sz="0" w:space="0" w:color="auto"/>
        <w:bottom w:val="none" w:sz="0" w:space="0" w:color="auto"/>
        <w:right w:val="none" w:sz="0" w:space="0" w:color="auto"/>
      </w:divBdr>
    </w:div>
    <w:div w:id="2057896171">
      <w:bodyDiv w:val="1"/>
      <w:marLeft w:val="0"/>
      <w:marRight w:val="0"/>
      <w:marTop w:val="0"/>
      <w:marBottom w:val="0"/>
      <w:divBdr>
        <w:top w:val="none" w:sz="0" w:space="0" w:color="auto"/>
        <w:left w:val="none" w:sz="0" w:space="0" w:color="auto"/>
        <w:bottom w:val="none" w:sz="0" w:space="0" w:color="auto"/>
        <w:right w:val="none" w:sz="0" w:space="0" w:color="auto"/>
      </w:divBdr>
    </w:div>
    <w:div w:id="212048508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www.cbbn.it/" TargetMode="External"/><Relationship Id="rId3" Type="http://schemas.openxmlformats.org/officeDocument/2006/relationships/styles" Target="styles.xml"/><Relationship Id="rId21" Type="http://schemas.openxmlformats.org/officeDocument/2006/relationships/hyperlink" Target="https://www.turismonovara.it"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oleObject" Target="embeddings/Foglio_di_lavoro_di_Microsoft_Excel_97-20031.xls"/><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yperlink" Target="https://www.acquanovaravco.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www.cisaovesticino.it"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A9317-5F15-4EF7-9A16-60906215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23</Pages>
  <Words>3738</Words>
  <Characters>21307</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
    </vt:vector>
  </TitlesOfParts>
  <Company>Delia Frigatti</Company>
  <LinksUpToDate>false</LinksUpToDate>
  <CharactersWithSpaces>24996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Frigatti</dc:creator>
  <cp:keywords/>
  <cp:lastModifiedBy>Sara</cp:lastModifiedBy>
  <cp:revision>34</cp:revision>
  <cp:lastPrinted>2018-12-20T08:14:00Z</cp:lastPrinted>
  <dcterms:created xsi:type="dcterms:W3CDTF">2020-12-22T19:18:00Z</dcterms:created>
  <dcterms:modified xsi:type="dcterms:W3CDTF">2021-02-09T13:44:00Z</dcterms:modified>
</cp:coreProperties>
</file>